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IT-Nutzung und Ueberwachung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['Erlaubt: Nutzung von E-Mail, Internet, Kollaborationstools (M365, Teams, SAP, Confluence) zu dienstlichen Zwecken.', 'Private Nutzung in geringem Umfang geduldet, kein Anspruch.', 'Verbot: Verbreitung diskriminierender, gewaltverherrlichender, pornografischer Inhalte; Verstoss = Abmahnungsgrund.', 'Protokollierung der Systemnutzung nur zu Zwecken der IT-Sicherheit und Funktionsfaehigkeit (Loeschfristen 90 Tage).', 'Keine Mitarbeiter-Leistungskontrolle aus IT-Logs ohne konkreten Anfangsverdacht und Hinzuziehung BR/DSB (4-Augen-Prinzip).', 'Einfuehrung neuer Tools mit Mitbestimmung gemaess § 87 Abs. 1 Nr. 6 BetrVG, Verfahrensverzeichnis (Art. 30 DSGVO).', 'Privates Geraet (BYOD) nur ueber Mobile-Device-Management (Intune) und Containerloesung.'])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