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Sozialer Interessenausgleich</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['Anwendungsbereich: Betriebsaenderungen i.S.v. § 111 BetrVG mit nachteiligen Folgen fuer die Belegschaft.', 'Abfindungsformel: Bruttomonatsgehalt x Betriebszugehoerigkeit (Jahre) x Faktor 1,0 (Basis); Faktor 1,3 ab 50. Lebensjahr; Faktor 1,5 ab 55. Lebensjahr.', 'Mindestabfindung 5.000 EUR brutto, Hoechstgrenze 250.000 EUR brutto.', 'Sprinterpraemie bei freiwilligem Aufhebungsvertrag binnen 6 Wochen: zusaetzliche 25 % der Abfindung.', 'Qualifizierungsbudget je betroffenem MA bis 5.000 EUR fuer Umschulung/Weiterbildung.', 'Transfergesellschaft (12 Monate) als Alternativangebot, getragen vom AG, Aufstockung Transferkurzarbeitergeld auf 80 %.', 'Vorruhestandsregelung ab 58. Lebensjahr mit individueller Berechnung und sozialvertraeglicher Brueckenfinanzierung.'])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2023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2023</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