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Weiterbildung und Qualifizierung</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['Anspruch auf jaehrliches Mitarbeitergespraech zur Qualifikationsentwicklung.', 'Weiterbildungsbudget je MA: 1.500 EUR p.a. (gewerblich), 3.000 EUR p.a. (kaufmaennisch/IT).', 'Foerderung von Berufsbegleitenden Studien (max. 50 % Studiengebuehren, max. 8.000 EUR, Rueckzahlungsklausel 3 Jahre).', 'Mindest-Schulungstage: 3 Tage/Jahr (gewerblich), 5 Tage/Jahr (Angestellte) waehrend der Arbeitszeit.', 'Anrechnung von externen Zertifikaten (PMP, Six Sigma, ASPICE) als Entwicklungsbestandteil.', 'Mentoring-Programm fuer Berufseinsteiger und Nachwuchsfuehrungskraefte.', 'Berichterstattung halbjaehrlich an BR zur Inanspruchnahme und Zielerreichung.'])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2022</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