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Stellungnahme Betriebsrat zur Massenentlassungsanzeige nach § 17 KSchG – Brennhagen Holding GmbH (2023)</w:t>
      </w:r>
    </w:p>
    <w:p/>
    <w:p>
      <w:pPr>
        <w:pStyle w:val="Heading3"/>
      </w:pPr>
      <w:r>
        <w:t>Betreff</w:t>
      </w:r>
    </w:p>
    <w:p>
      <w:r>
        <w:t>Stellungnahme Betriebsrat zur Massenentlassungsanzeige nach § 17 KSchG</w:t>
        <w:br/>
        <w:t>Gegenstand: geplante betriebsbedingte Beendigung von 38 Arbeitsverhaeltnissen im Bereich Logistik/Versand</w:t>
        <w:br/>
        <w:t>Rechtsgrundlage: § 17 KSchG, §§ 111, 112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nimmt die Konsultation gemaess § 17 Abs. 2 KSchG zur Kenntnis. Begleitend wird die parallele Aufnahme von Interessenausgleichsverhandlungen gefordert. Soziale Auswahl gemaess § 1 Abs. 3 KSchG ist auf nachvollziehbaren Kriterien (Lebensalter, Betriebszugehoerigkeit, Unterhaltspflichten, Schwerbehinderung) zu basieren.</w:t>
      </w:r>
    </w:p>
    <w:p>
      <w:pPr>
        <w:pStyle w:val="Heading3"/>
      </w:pPr>
      <w:r>
        <w:t>Forderung / weiteres Vorgehen</w:t>
      </w:r>
    </w:p>
    <w:p>
      <w:r>
        <w:t>Wir behalten uns die Anrufung der Einigungsstelle vor, falls bis 3 Wochen keine Einigung erzielt wird.</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