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Holding GmbH (RHO)</w:t>
      </w:r>
    </w:p>
    <w:p>
      <w:r>
        <w:rPr>
          <w:sz w:val="18"/>
        </w:rPr>
        <w:t>Vaihinger Straße 120, 70567 Stuttgart  |  HRB 726450,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Unterrichtung Betriebsrat ueber Betriebsaenderung gemaess § 111 BetrVG (2023) – Brennhagen Holding GmbH</w:t>
      </w:r>
    </w:p>
    <w:p/>
    <w:p>
      <w:pPr>
        <w:pStyle w:val="Heading3"/>
      </w:pPr>
      <w:r>
        <w:t>Anlass und Adressaten</w:t>
      </w:r>
    </w:p>
    <w:p>
      <w:r>
        <w:t>Die Geschaeftsleitung der Brennhagen Holding GmbH unterrichtet hiermit den Betriebsrat – vertreten durch den Vorsitzenden Marlies Duerr – gemaess § 111 BetrVG ueber eine geplante Betriebsaenderung am Standort Stuttgart.</w:t>
      </w:r>
    </w:p>
    <w:p>
      <w:pPr>
        <w:pStyle w:val="Heading3"/>
      </w:pPr>
      <w:r>
        <w:t>Gegenstand der geplanten Betriebsaenderung</w:t>
      </w:r>
    </w:p>
    <w:p>
      <w:r>
        <w:t>Beabsichtigt ist die Verlagerung der Vorfertigung von Steckverbindergehaeuse-Komponenten der Produktfamilie ICP-3 an den Standort Brno (RCZ). Die Massnahme betrifft am Standort Stuttgart ca. 36 unmittelbar betroffene Arbeitsplaetze sowie mittelbar weitere 14 Arbeitsplaetze in Logistik und QS. Hintergrund ist eine OEM-seitige Preisreduktionserwartung von 6,5 % p.a. (BMW Group, Kontrakt MK4711), die unter den derzeitigen Standortkosten in Stuttgart nicht darstellbar ist.</w:t>
      </w:r>
    </w:p>
    <w:p>
      <w:pPr>
        <w:pStyle w:val="Heading3"/>
      </w:pPr>
      <w:r>
        <w:t>Zeitplan und Meilensteine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Meilenstein</w:t>
            </w:r>
          </w:p>
        </w:tc>
        <w:tc>
          <w:tcPr>
            <w:tcW w:type="dxa" w:w="4320"/>
          </w:tcPr>
          <w:p>
            <w:r>
              <w:t>Termin</w:t>
            </w:r>
          </w:p>
        </w:tc>
      </w:tr>
      <w:tr>
        <w:tc>
          <w:tcPr>
            <w:tcW w:type="dxa" w:w="4320"/>
          </w:tcPr>
          <w:p>
            <w:r>
              <w:t>Information BR und Konzern-BR</w:t>
            </w:r>
          </w:p>
        </w:tc>
        <w:tc>
          <w:tcPr>
            <w:tcW w:type="dxa" w:w="4320"/>
          </w:tcPr>
          <w:p>
            <w:r>
              <w:t>15. Mai 2023</w:t>
            </w:r>
          </w:p>
        </w:tc>
      </w:tr>
      <w:tr>
        <w:tc>
          <w:tcPr>
            <w:tcW w:type="dxa" w:w="4320"/>
          </w:tcPr>
          <w:p>
            <w:r>
              <w:t>Beginn Verhandlungen Interessenausgleich/Sozialplan</w:t>
            </w:r>
          </w:p>
        </w:tc>
        <w:tc>
          <w:tcPr>
            <w:tcW w:type="dxa" w:w="4320"/>
          </w:tcPr>
          <w:p>
            <w:r>
              <w:t>22. Mai 2023</w:t>
            </w:r>
          </w:p>
        </w:tc>
      </w:tr>
      <w:tr>
        <w:tc>
          <w:tcPr>
            <w:tcW w:type="dxa" w:w="4320"/>
          </w:tcPr>
          <w:p>
            <w:r>
              <w:t>Anzeige Massenentlassung BA</w:t>
            </w:r>
          </w:p>
        </w:tc>
        <w:tc>
          <w:tcPr>
            <w:tcW w:type="dxa" w:w="4320"/>
          </w:tcPr>
          <w:p>
            <w:r>
              <w:t>01. August 2023</w:t>
            </w:r>
          </w:p>
        </w:tc>
      </w:tr>
      <w:tr>
        <w:tc>
          <w:tcPr>
            <w:tcW w:type="dxa" w:w="4320"/>
          </w:tcPr>
          <w:p>
            <w:r>
              <w:t>Beginn Verlagerung</w:t>
            </w:r>
          </w:p>
        </w:tc>
        <w:tc>
          <w:tcPr>
            <w:tcW w:type="dxa" w:w="4320"/>
          </w:tcPr>
          <w:p>
            <w:r>
              <w:t>01. Oktober 2023</w:t>
            </w:r>
          </w:p>
        </w:tc>
      </w:tr>
      <w:tr>
        <w:tc>
          <w:tcPr>
            <w:tcW w:type="dxa" w:w="4320"/>
          </w:tcPr>
          <w:p>
            <w:r>
              <w:t>Abschluss Verlagerung</w:t>
            </w:r>
          </w:p>
        </w:tc>
        <w:tc>
          <w:tcPr>
            <w:tcW w:type="dxa" w:w="4320"/>
          </w:tcPr>
          <w:p>
            <w:r>
              <w:t>31. März 2024</w:t>
            </w:r>
          </w:p>
        </w:tc>
      </w:tr>
    </w:tbl>
    <w:p>
      <w:pPr>
        <w:pStyle w:val="Heading3"/>
      </w:pPr>
      <w:r>
        <w:t>Wirtschaftliche Begruendung</w:t>
      </w:r>
    </w:p>
    <w:p>
      <w:r>
        <w:t>Die Verlagerung soll eine Kostenreduktion von rund 2,8 Mio. EUR p.a. (vollumfaenglich realisiert ab GJ 2024) realisieren. Investitionsbedarf am Standort Brno: 4,2 Mio. EUR (Linie+ATE), Amortisation 18 Monate. Die Geschaeftsleitung verweist auf die Konzernstrategie 'Operational Footprint 2030' und die Notwendigkeit, die EBITDA-Marge bis 2026 auf 12 % anzuheben (KPMG-Plan).</w:t>
      </w:r>
    </w:p>
    <w:p>
      <w:pPr>
        <w:pStyle w:val="Heading3"/>
      </w:pPr>
      <w:r>
        <w:t>Soziale Folgen und vorgesehene Massnahmen</w:t>
      </w:r>
    </w:p>
    <w:p>
      <w:r>
        <w:t>Beabsichtigt sind: (1) interne Stellenangebote an betroffene MA an anderen Linien, (2) Aufhebungsvertraege mit Abfindung gemaess konzernweitem Sozialplan-Rahmen (Faktor 1,3), (3) Transfergesellschaft 12 Monate, (4) Vorruhestandsregelung ab 58. Lebensjahr.</w:t>
      </w:r>
    </w:p>
    <w:p>
      <w:pPr>
        <w:pStyle w:val="Heading3"/>
      </w:pPr>
      <w:r>
        <w:t>Beteiligungsrechte des Betriebsrats</w:t>
      </w:r>
    </w:p>
    <w:p>
      <w:r>
        <w:t>Die Geschaeftsleitung erkennt die Mitbestimmungsrechte des Betriebsrats nach §§ 111, 112 BetrVG und des Konzernbetriebsrats (KBR) an. Hinzugezogen wird auf Wunsch des BR ein Wirtschaftspruefer (Vorschlag Geschaeftsleitung: PwC, Vorschlag BR: BDO). Der Wirtschaftsausschuss wird in seiner naechsten Sitzung detailliert informiert.</w:t>
      </w:r>
    </w:p>
    <w:p>
      <w:pPr>
        <w:pStyle w:val="Heading3"/>
      </w:pPr>
      <w:r>
        <w:t>Sachverstaendige</w:t>
      </w:r>
    </w:p>
    <w:p>
      <w:r>
        <w:t>Hinzuziehung von Beratern auf Kosten der Gesellschaft gemaess § 80 Abs. 3 BetrVG ist vereinbart. Kostenrahmen 35.000 EUR brutto.</w:t>
      </w:r>
    </w:p>
    <w:p>
      <w:pPr>
        <w:pStyle w:val="Heading3"/>
      </w:pPr>
      <w:r>
        <w:t>Unterschriften</w:t>
      </w:r>
    </w:p>
    <w:p>
      <w:r>
        <w:t>Ort, Datum: Stuttgart, den 15. Mai 2023</w:t>
      </w:r>
    </w:p>
    <w:p>
      <w:r>
        <w:t>_________________________            _________________________</w:t>
        <w:br/>
        <w:t>Anna Mueller                          Marlies Duerr</w:t>
        <w:br/>
        <w:t>Werkleitung                          Vorsitz BR</w:t>
        <w:br/>
        <w:t>Brennhagen Holding GmbH                       Brennhagen Holding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