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Entgeltrahmenabkommen / Eingruppierung</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['Anwendung des Entgeltrahmenabkommens (ERA) der Metall- und Elektroindustrie Baden-Wuerttemberg.', 'Eingruppierung in 17 Entgeltgruppen nach Anforderungsprofil gemaess ERA-Bewertungsmethode.', 'Bildung einer paritaetischen Eingruppierungskommission (4 Mitglieder, je 2 von AG und BR).', 'Erstgesprach binnen 6 Wochen nach Einstellung, schriftliche Mitteilung der Eingruppierung an den Mitarbeiter.', 'Reklamationsverfahren: schriftlicher Einspruch binnen 4 Wochen, Pruefung in paritaetischer Kommission, ggf. Schlichtung.', 'Leistungszulage gemaess ERA-Leistungsbeurteilung jaehrlich, Bandbreite 0-15 %.', 'Belastungszulage fuer ungueenstige Arbeitsbedingungen nach Anlage 2.'])</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