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Parkplatzregelung</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['Bereitstellung der werkseigenen Parkflaechen fuer alle Beschaeftigten waehrend der Arbeitszeit.', 'Priorisierung: Schwerbehinderte (15 Plaetze, beschildert), Eltern mit Kind unter 6 Jahren (8 Plaetze), Schichtarbeiter Frueh-/Spaet.', 'E-Ladesaeulen (22 kW, 30 Plaetze) mit Ladekarten, Verbrauchsabrechnung quartalsweise (0,38 EUR/kWh).', 'Fahrradparkhaus ueberdacht mit 80 Plaetzen und 12 E-Bike-Ladepunkten.', 'Verbot der Lagerung von Gefahrgut, Werkzeugen oder Wertgegenstaenden im Auto.', 'Kontrolle Falschparker durch Werkschutz, Verwarnung 20 EUR ab dritter Wiederholung.', 'Ueberpruefung der Parkraumsituation jaehrlich, Anpassung bei wesentlicher Veraenderung der Belegschaftsgroesse.'])</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