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Sozialer Interessenausgleich</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['Anwendungsbereich: Betriebsaenderungen i.S.v. § 111 BetrVG mit nachteiligen Folgen fuer die Belegschaft.', 'Abfindungsformel: Bruttomonatsgehalt x Betriebszugehoerigkeit (Jahre) x Faktor 1,0 (Basis); Faktor 1,3 ab 50. Lebensjahr; Faktor 1,5 ab 55. Lebensjahr.', 'Mindestabfindung 5.000 EUR brutto, Hoechstgrenze 250.000 EUR brutto.', 'Sprinterpraemie bei freiwilligem Aufhebungsvertrag binnen 6 Wochen: zusaetzliche 25 % der Abfindung.', 'Qualifizierungsbudget je betroffenem MA bis 5.000 EUR fuer Umschulung/Weiterbildung.', 'Transfergesellschaft (12 Monate) als Alternativangebot, getragen vom AG, Aufstockung Transferkurzarbeitergeld auf 80 %.', 'Vorruhestandsregelung ab 58. Lebensjahr mit individueller Berechnung und sozialvertraeglicher Brueckenfinanzierung.'])</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2023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2023</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