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Betriebliche Altersversorgung (bAV)</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Allen unbefristet Beschaeftigten wird eine arbeitgeberfinanzierte Grundzusage von 1,2 % der pensionsfaehigen Beguege gewaehrt.', 'Zusaetzlich Entgeltumwandlung bis 8 % BBG (West) mit Arbeitgeberzuschuss 20 %.', 'Durchfuehrungsweg: Pensionsfonds Heubeck (vorrangig), Direktversicherung Allianz Pensionsmanagement.', 'Unverfallbarkeit nach gesetzlicher Frist (3 Jahre, Vollendung 21. Lebensjahr).', 'Anpassungspruefung nach § 16 BetrAVG alle 3 Jahre.', 'Information der Mitarbeiter durch jaehrlichen Renteninformationsbrief.', 'Sondervereinbarung fuer Bestandsmitarbeiter mit alter Direktzusage gemaess Anlage 1.'])</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