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Gleichstellung und Antidiskriminierung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['Bekenntnis zur Chancengleichheit unabhaengig von Geschlecht, Alter, Herkunft, Religion, sexueller Identitaet, Behinderung.', 'Zielquote 30 % Frauen in Fuehrungspositionen bis 2027, Massnahmenkatalog gemaess Anlage 1.', 'Foerderung Wiedereinstieg nach Elternzeit (garantiertes Rueckkehrgespraech, Patenmodell).', 'Diskriminierungsbeschwerdestelle nach § 13 AGG, paritaetisch besetzt (HR, BR, SBV, Diversity-Beauftragter).', 'Verpflichtende Schulung Diversity &amp; Inclusion fuer alle Fuehrungskraefte, mindestens alle 24 Monate.', 'Geschlechtergerechte Stellenausschreibungen (m/w/d), Standardvorlagen verbindlich.', 'Jaehrliche Berichterstattung an die Geschaeftsleitung und den BR zur Entwicklung der Indikatoren.'])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