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Urlaubsplanung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['Tariflicher Jahresurlaub 30 Arbeitstage, Schwerbehinderte zzgl. 5 Tage.', 'Bekanntgabe der Urlaubswuensche bis 30. November fuer das Folgejahr.', 'Vorrang sozialer Gesichtspunkte (Schulkinder, Pflege Angehoerige) bei Konflikten.', 'Werkferien: 2 Wochen im August (Linien 1-3), 1 Woche Jahreswechsel (alle Bereiche).', 'Maximal 10 Urlaubstage Uebertrag ins Folgejahr, Verfall zum 31.03.', 'Halbtagsurlaub moeglich, max. 12 Halbtage/Jahr.', 'Krankheit waehrend Urlaub: aerztliches Attest erforderlich ab 1. Tag fuer Anrechnung gemaess § 9 BUrlG.'])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