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Heubeck AG</w:t>
      </w:r>
    </w:p>
    <w:p>
      <w:r>
        <w:rPr>
          <w:sz w:val="18"/>
        </w:rPr>
        <w:t>Friedrich-Ebert-Allee 27, 50931 Koeln  |  HRB 12476, Amtsgericht Koeln</w:t>
      </w:r>
    </w:p>
    <w:p>
      <w:r>
        <w:t>────────────────────────────────────────────────────────────────────────────────</w:t>
      </w:r>
    </w:p>
    <w:p>
      <w:pPr>
        <w:pStyle w:val="Heading2"/>
      </w:pPr>
      <w:r>
        <w:t>Versicherungsmathematisches Gutachten 2022 – RPL (Brennhagen Polska Sp. z o.o., Katowice)</w:t>
      </w:r>
    </w:p>
    <w:p>
      <w:pPr>
        <w:jc w:val="center"/>
      </w:pPr>
      <w:r>
        <w:t>IFRS IAS 19 / HGB § 253 Abs. 2 / BilMoG  |  Stichtag 31.12.2022  |  Aktuar: Heubeck AG, Lead Dipl.-Math. Andreas Geyer</w:t>
      </w:r>
    </w:p>
    <w:p/>
    <w:p>
      <w:pPr>
        <w:pStyle w:val="Heading3"/>
      </w:pPr>
      <w:r>
        <w:t>1. Auftrag und Grundlagen</w:t>
      </w:r>
    </w:p>
    <w:p>
      <w:r>
        <w:t>Die Heubeck AG, Koeln, wurde von der Brennhagen Elektronik AG mit der Erstellung des versicherungsmathematischen Gutachtens zum Stichtag 31. Dezember 2022 fuer den Pensionsplan »RPL« beauftragt. Auftraggeber ist die Konzernzentrale (Group Treasury, Markus Pflanzer; IFRS-Review: Dr. Heike Berger, Group Tax).</w:t>
      </w:r>
    </w:p>
    <w:p>
      <w:r>
        <w:t>Das Gutachten erfolgt parallel nach IAS 19 (revised 2011) fuer den IFRS-Konzernabschluss und nach § 253 Abs. 2 HGB (BilMoG, 10-Jahres-Durchschnittszinssatz) fuer den Einzelabschluss. Plantyp: Beitragsorientiert (PPK Polen, kein DBO).</w:t>
      </w:r>
    </w:p>
    <w:p>
      <w:r>
        <w:t>Berechnungsverfahren: Projected Unit Credit Method (PUCM) gemaess IAS 19.67 ff. Biometrische Grundlagen: Heubeck-Richttafeln 2018 G.</w:t>
      </w:r>
    </w:p>
    <w:p>
      <w:pPr>
        <w:pStyle w:val="Heading3"/>
      </w:pPr>
      <w:r>
        <w:t>2. Bewertungsannahmen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31.12.2022</w:t>
            </w:r>
          </w:p>
        </w:tc>
        <w:tc>
          <w:tcPr>
            <w:tcW w:type="dxa" w:w="2160"/>
          </w:tcPr>
          <w:p>
            <w:r>
              <w:t>31.12.2021</w:t>
            </w:r>
          </w:p>
        </w:tc>
        <w:tc>
          <w:tcPr>
            <w:tcW w:type="dxa" w:w="2160"/>
          </w:tcPr>
          <w:p>
            <w:r>
              <w:t>Bemerkung</w:t>
            </w:r>
          </w:p>
        </w:tc>
      </w:tr>
      <w:tr>
        <w:tc>
          <w:tcPr>
            <w:tcW w:type="dxa" w:w="2160"/>
          </w:tcPr>
          <w:p>
            <w:r>
              <w:t>Diskontierungszinssatz IFRS</w:t>
            </w:r>
          </w:p>
        </w:tc>
        <w:tc>
          <w:tcPr>
            <w:tcW w:type="dxa" w:w="2160"/>
          </w:tcPr>
          <w:p>
            <w:r>
              <w:t>3,75 %</w:t>
            </w:r>
          </w:p>
        </w:tc>
        <w:tc>
          <w:tcPr>
            <w:tcW w:type="dxa" w:w="2160"/>
          </w:tcPr>
          <w:p>
            <w:r>
              <w:t>1,10 %</w:t>
            </w:r>
          </w:p>
        </w:tc>
        <w:tc>
          <w:tcPr>
            <w:tcW w:type="dxa" w:w="2160"/>
          </w:tcPr>
          <w:p>
            <w:r>
              <w:t>Iboxx EUR AA 10+ Y</w:t>
            </w:r>
          </w:p>
        </w:tc>
      </w:tr>
      <w:tr>
        <w:tc>
          <w:tcPr>
            <w:tcW w:type="dxa" w:w="2160"/>
          </w:tcPr>
          <w:p>
            <w:r>
              <w:t>Diskontierungszinssatz HGB</w:t>
            </w:r>
          </w:p>
        </w:tc>
        <w:tc>
          <w:tcPr>
            <w:tcW w:type="dxa" w:w="2160"/>
          </w:tcPr>
          <w:p>
            <w:r>
              <w:t>1,82 %</w:t>
            </w:r>
          </w:p>
        </w:tc>
        <w:tc>
          <w:tcPr>
            <w:tcW w:type="dxa" w:w="2160"/>
          </w:tcPr>
          <w:p>
            <w:r>
              <w:t>1,78 %</w:t>
            </w:r>
          </w:p>
        </w:tc>
        <w:tc>
          <w:tcPr>
            <w:tcW w:type="dxa" w:w="2160"/>
          </w:tcPr>
          <w:p>
            <w:r>
              <w:t>§ 253 Abs. 2 HGB</w:t>
            </w:r>
          </w:p>
        </w:tc>
      </w:tr>
      <w:tr>
        <w:tc>
          <w:tcPr>
            <w:tcW w:type="dxa" w:w="2160"/>
          </w:tcPr>
          <w:p>
            <w:r>
              <w:t>Gehaltstrend</w:t>
            </w:r>
          </w:p>
        </w:tc>
        <w:tc>
          <w:tcPr>
            <w:tcW w:type="dxa" w:w="2160"/>
          </w:tcPr>
          <w:p>
            <w:r>
              <w:t>2,5 %</w:t>
            </w:r>
          </w:p>
        </w:tc>
        <w:tc>
          <w:tcPr>
            <w:tcW w:type="dxa" w:w="2160"/>
          </w:tcPr>
          <w:p>
            <w:r>
              <w:t>2,5 %</w:t>
            </w:r>
          </w:p>
        </w:tc>
        <w:tc>
          <w:tcPr>
            <w:tcW w:type="dxa" w:w="2160"/>
          </w:tcPr>
          <w:p>
            <w:r>
              <w:t>DE-Tarif AT-Mitarbeiter</w:t>
            </w:r>
          </w:p>
        </w:tc>
      </w:tr>
      <w:tr>
        <w:tc>
          <w:tcPr>
            <w:tcW w:type="dxa" w:w="2160"/>
          </w:tcPr>
          <w:p>
            <w:r>
              <w:t>Rententrend</w:t>
            </w:r>
          </w:p>
        </w:tc>
        <w:tc>
          <w:tcPr>
            <w:tcW w:type="dxa" w:w="2160"/>
          </w:tcPr>
          <w:p>
            <w:r>
              <w:t>1,75 %</w:t>
            </w:r>
          </w:p>
        </w:tc>
        <w:tc>
          <w:tcPr>
            <w:tcW w:type="dxa" w:w="2160"/>
          </w:tcPr>
          <w:p>
            <w:r>
              <w:t>1,75 %</w:t>
            </w:r>
          </w:p>
        </w:tc>
        <w:tc>
          <w:tcPr>
            <w:tcW w:type="dxa" w:w="2160"/>
          </w:tcPr>
          <w:p>
            <w:r>
              <w:t>§ 16 BetrAVG Annahme</w:t>
            </w:r>
          </w:p>
        </w:tc>
      </w:tr>
      <w:tr>
        <w:tc>
          <w:tcPr>
            <w:tcW w:type="dxa" w:w="2160"/>
          </w:tcPr>
          <w:p>
            <w:r>
              <w:t>Inflation</w:t>
            </w:r>
          </w:p>
        </w:tc>
        <w:tc>
          <w:tcPr>
            <w:tcW w:type="dxa" w:w="2160"/>
          </w:tcPr>
          <w:p>
            <w:r>
              <w:t>2,0 %</w:t>
            </w:r>
          </w:p>
        </w:tc>
        <w:tc>
          <w:tcPr>
            <w:tcW w:type="dxa" w:w="2160"/>
          </w:tcPr>
          <w:p>
            <w:r>
              <w:t>2,0 %</w:t>
            </w:r>
          </w:p>
        </w:tc>
        <w:tc>
          <w:tcPr>
            <w:tcW w:type="dxa" w:w="2160"/>
          </w:tcPr>
          <w:p>
            <w:r>
              <w:t>ECB Survey of Professional Forecasters</w:t>
            </w:r>
          </w:p>
        </w:tc>
      </w:tr>
      <w:tr>
        <w:tc>
          <w:tcPr>
            <w:tcW w:type="dxa" w:w="2160"/>
          </w:tcPr>
          <w:p>
            <w:r>
              <w:t>Fluktuation</w:t>
            </w:r>
          </w:p>
        </w:tc>
        <w:tc>
          <w:tcPr>
            <w:tcW w:type="dxa" w:w="2160"/>
          </w:tcPr>
          <w:p>
            <w:r>
              <w:t>3,2 %</w:t>
            </w:r>
          </w:p>
        </w:tc>
        <w:tc>
          <w:tcPr>
            <w:tcW w:type="dxa" w:w="2160"/>
          </w:tcPr>
          <w:p>
            <w:r>
              <w:t>3,5 %</w:t>
            </w:r>
          </w:p>
        </w:tc>
        <w:tc>
          <w:tcPr>
            <w:tcW w:type="dxa" w:w="2160"/>
          </w:tcPr>
          <w:p>
            <w:r>
              <w:t>alters-/dienstzeitabhaengig</w:t>
            </w:r>
          </w:p>
        </w:tc>
      </w:tr>
      <w:tr>
        <w:tc>
          <w:tcPr>
            <w:tcW w:type="dxa" w:w="2160"/>
          </w:tcPr>
          <w:p>
            <w:r>
              <w:t>Pensionierungsalter</w:t>
            </w:r>
          </w:p>
        </w:tc>
        <w:tc>
          <w:tcPr>
            <w:tcW w:type="dxa" w:w="2160"/>
          </w:tcPr>
          <w:p>
            <w:r>
              <w:t>67</w:t>
            </w:r>
          </w:p>
        </w:tc>
        <w:tc>
          <w:tcPr>
            <w:tcW w:type="dxa" w:w="2160"/>
          </w:tcPr>
          <w:p>
            <w:r>
              <w:t>67</w:t>
            </w:r>
          </w:p>
        </w:tc>
        <w:tc>
          <w:tcPr>
            <w:tcW w:type="dxa" w:w="2160"/>
          </w:tcPr>
          <w:p>
            <w:r>
              <w:t>Regelaltersgrenze SGB VI</w:t>
            </w:r>
          </w:p>
        </w:tc>
      </w:tr>
      <w:tr>
        <w:tc>
          <w:tcPr>
            <w:tcW w:type="dxa" w:w="2160"/>
          </w:tcPr>
          <w:p>
            <w:r>
              <w:t>Sterbetafeln</w:t>
            </w:r>
          </w:p>
        </w:tc>
        <w:tc>
          <w:tcPr>
            <w:tcW w:type="dxa" w:w="2160"/>
          </w:tcPr>
          <w:p>
            <w:r>
              <w:t>RT 2018 G</w:t>
            </w:r>
          </w:p>
        </w:tc>
        <w:tc>
          <w:tcPr>
            <w:tcW w:type="dxa" w:w="2160"/>
          </w:tcPr>
          <w:p>
            <w:r>
              <w:t>RT 2018 G</w:t>
            </w:r>
          </w:p>
        </w:tc>
        <w:tc>
          <w:tcPr>
            <w:tcW w:type="dxa" w:w="2160"/>
          </w:tcPr>
          <w:p>
            <w:r>
              <w:t>Heubeck-Richttafeln</w:t>
            </w:r>
          </w:p>
        </w:tc>
      </w:tr>
    </w:tbl>
    <w:p>
      <w:pPr>
        <w:pStyle w:val="Heading3"/>
      </w:pPr>
      <w:r>
        <w:t>3. Bestand der Versorgungsberechtigten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Kategorie</w:t>
            </w:r>
          </w:p>
        </w:tc>
        <w:tc>
          <w:tcPr>
            <w:tcW w:type="dxa" w:w="2160"/>
          </w:tcPr>
          <w:p>
            <w:r>
              <w:t>Anzahl</w:t>
            </w:r>
          </w:p>
        </w:tc>
        <w:tc>
          <w:tcPr>
            <w:tcW w:type="dxa" w:w="2160"/>
          </w:tcPr>
          <w:p>
            <w:r>
              <w:t>Ø Alter</w:t>
            </w:r>
          </w:p>
        </w:tc>
        <w:tc>
          <w:tcPr>
            <w:tcW w:type="dxa" w:w="2160"/>
          </w:tcPr>
          <w:p>
            <w:r>
              <w:t>Ø Dienstjahre</w:t>
            </w:r>
          </w:p>
        </w:tc>
      </w:tr>
      <w:tr>
        <w:tc>
          <w:tcPr>
            <w:tcW w:type="dxa" w:w="2160"/>
          </w:tcPr>
          <w:p>
            <w:r>
              <w:t>Aktive Anwartschaftsberechtigte</w:t>
            </w:r>
          </w:p>
        </w:tc>
        <w:tc>
          <w:tcPr>
            <w:tcW w:type="dxa" w:w="2160"/>
          </w:tcPr>
          <w:p>
            <w:r>
              <w:t>960</w:t>
            </w:r>
          </w:p>
        </w:tc>
        <w:tc>
          <w:tcPr>
            <w:tcW w:type="dxa" w:w="2160"/>
          </w:tcPr>
          <w:p>
            <w:r>
              <w:t>44</w:t>
            </w:r>
          </w:p>
        </w:tc>
        <w:tc>
          <w:tcPr>
            <w:tcW w:type="dxa" w:w="2160"/>
          </w:tcPr>
          <w:p>
            <w:r>
              <w:t>12</w:t>
            </w:r>
          </w:p>
        </w:tc>
      </w:tr>
      <w:tr>
        <w:tc>
          <w:tcPr>
            <w:tcW w:type="dxa" w:w="2160"/>
          </w:tcPr>
          <w:p>
            <w:r>
              <w:t>Ausgeschiedene mit unverfallbarer Anwartschaft</w:t>
            </w:r>
          </w:p>
        </w:tc>
        <w:tc>
          <w:tcPr>
            <w:tcW w:type="dxa" w:w="2160"/>
          </w:tcPr>
          <w:p>
            <w:r>
              <w:t>12</w:t>
            </w:r>
          </w:p>
        </w:tc>
        <w:tc>
          <w:tcPr>
            <w:tcW w:type="dxa" w:w="2160"/>
          </w:tcPr>
          <w:p>
            <w:r>
              <w:t>52</w:t>
            </w:r>
          </w:p>
        </w:tc>
        <w:tc>
          <w:tcPr>
            <w:tcW w:type="dxa" w:w="2160"/>
          </w:tcPr>
          <w:p>
            <w:r>
              <w:t>—</w:t>
            </w:r>
          </w:p>
        </w:tc>
      </w:tr>
      <w:tr>
        <w:tc>
          <w:tcPr>
            <w:tcW w:type="dxa" w:w="2160"/>
          </w:tcPr>
          <w:p>
            <w:r>
              <w:t>Laufende Rentner / Hinterbliebene</w:t>
            </w:r>
          </w:p>
        </w:tc>
        <w:tc>
          <w:tcPr>
            <w:tcW w:type="dxa" w:w="2160"/>
          </w:tcPr>
          <w:p>
            <w:r>
              <w:t>0</w:t>
            </w:r>
          </w:p>
        </w:tc>
        <w:tc>
          <w:tcPr>
            <w:tcW w:type="dxa" w:w="2160"/>
          </w:tcPr>
          <w:p>
            <w:r>
              <w:t>71</w:t>
            </w:r>
          </w:p>
        </w:tc>
        <w:tc>
          <w:tcPr>
            <w:tcW w:type="dxa" w:w="2160"/>
          </w:tcPr>
          <w:p>
            <w:r>
              <w:t>—</w:t>
            </w:r>
          </w:p>
        </w:tc>
      </w:tr>
      <w:tr>
        <w:tc>
          <w:tcPr>
            <w:tcW w:type="dxa" w:w="2160"/>
          </w:tcPr>
          <w:p>
            <w:r>
              <w:t>Gesamt</w:t>
            </w:r>
          </w:p>
        </w:tc>
        <w:tc>
          <w:tcPr>
            <w:tcW w:type="dxa" w:w="2160"/>
          </w:tcPr>
          <w:p>
            <w:r>
              <w:t>972</w:t>
            </w:r>
          </w:p>
        </w:tc>
        <w:tc>
          <w:tcPr>
            <w:tcW w:type="dxa" w:w="2160"/>
          </w:tcPr>
          <w:p>
            <w:r>
              <w:t>—</w:t>
            </w:r>
          </w:p>
        </w:tc>
        <w:tc>
          <w:tcPr>
            <w:tcW w:type="dxa" w:w="2160"/>
          </w:tcPr>
          <w:p>
            <w:r>
              <w:t>—</w:t>
            </w:r>
          </w:p>
        </w:tc>
      </w:tr>
    </w:tbl>
    <w:p>
      <w:pPr>
        <w:pStyle w:val="Heading3"/>
      </w:pPr>
      <w:r>
        <w:t>4. Defined Benefit Obligation (DBO) zum Stichtag</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31.12.2022 (Mio. EUR)</w:t>
            </w:r>
          </w:p>
        </w:tc>
        <w:tc>
          <w:tcPr>
            <w:tcW w:type="dxa" w:w="2880"/>
          </w:tcPr>
          <w:p>
            <w:r>
              <w:t>31.12.2021 (Mio. EUR)</w:t>
            </w:r>
          </w:p>
        </w:tc>
      </w:tr>
      <w:tr>
        <w:tc>
          <w:tcPr>
            <w:tcW w:type="dxa" w:w="2880"/>
          </w:tcPr>
          <w:p>
            <w:r>
              <w:t>DBO RPL gesamt</w:t>
            </w:r>
          </w:p>
        </w:tc>
        <w:tc>
          <w:tcPr>
            <w:tcW w:type="dxa" w:w="2880"/>
          </w:tcPr>
          <w:p>
            <w:r>
              <w:t>0,0</w:t>
            </w:r>
          </w:p>
        </w:tc>
        <w:tc>
          <w:tcPr>
            <w:tcW w:type="dxa" w:w="2880"/>
          </w:tcPr>
          <w:p>
            <w:r>
              <w:t>0,0</w:t>
            </w:r>
          </w:p>
        </w:tc>
      </w:tr>
      <w:tr>
        <w:tc>
          <w:tcPr>
            <w:tcW w:type="dxa" w:w="2880"/>
          </w:tcPr>
          <w:p>
            <w:r>
              <w:t>davon Aktive</w:t>
            </w:r>
          </w:p>
        </w:tc>
        <w:tc>
          <w:tcPr>
            <w:tcW w:type="dxa" w:w="2880"/>
          </w:tcPr>
          <w:p>
            <w:r>
              <w:t>0,0</w:t>
            </w:r>
          </w:p>
        </w:tc>
        <w:tc>
          <w:tcPr>
            <w:tcW w:type="dxa" w:w="2880"/>
          </w:tcPr>
          <w:p>
            <w:r>
              <w:t>0,0</w:t>
            </w:r>
          </w:p>
        </w:tc>
      </w:tr>
      <w:tr>
        <w:tc>
          <w:tcPr>
            <w:tcW w:type="dxa" w:w="2880"/>
          </w:tcPr>
          <w:p>
            <w:r>
              <w:t>davon Ausgeschiedene</w:t>
            </w:r>
          </w:p>
        </w:tc>
        <w:tc>
          <w:tcPr>
            <w:tcW w:type="dxa" w:w="2880"/>
          </w:tcPr>
          <w:p>
            <w:r>
              <w:t>0,0</w:t>
            </w:r>
          </w:p>
        </w:tc>
        <w:tc>
          <w:tcPr>
            <w:tcW w:type="dxa" w:w="2880"/>
          </w:tcPr>
          <w:p>
            <w:r>
              <w:t>0,0</w:t>
            </w:r>
          </w:p>
        </w:tc>
      </w:tr>
      <w:tr>
        <w:tc>
          <w:tcPr>
            <w:tcW w:type="dxa" w:w="2880"/>
          </w:tcPr>
          <w:p>
            <w:r>
              <w:t>davon Rentner</w:t>
            </w:r>
          </w:p>
        </w:tc>
        <w:tc>
          <w:tcPr>
            <w:tcW w:type="dxa" w:w="2880"/>
          </w:tcPr>
          <w:p>
            <w:r>
              <w:t>0,0</w:t>
            </w:r>
          </w:p>
        </w:tc>
        <w:tc>
          <w:tcPr>
            <w:tcW w:type="dxa" w:w="2880"/>
          </w:tcPr>
          <w:p>
            <w:r>
              <w:t>0,0</w:t>
            </w:r>
          </w:p>
        </w:tc>
      </w:tr>
      <w:tr>
        <w:tc>
          <w:tcPr>
            <w:tcW w:type="dxa" w:w="2880"/>
          </w:tcPr>
          <w:p>
            <w:r>
              <w:t>Service Cost (laufender Dienstzeitaufwand)</w:t>
            </w:r>
          </w:p>
        </w:tc>
        <w:tc>
          <w:tcPr>
            <w:tcW w:type="dxa" w:w="2880"/>
          </w:tcPr>
          <w:p>
            <w:r>
              <w:t>0,0</w:t>
            </w:r>
          </w:p>
        </w:tc>
        <w:tc>
          <w:tcPr>
            <w:tcW w:type="dxa" w:w="2880"/>
          </w:tcPr>
          <w:p>
            <w:r>
              <w:t>0,0</w:t>
            </w:r>
          </w:p>
        </w:tc>
      </w:tr>
      <w:tr>
        <w:tc>
          <w:tcPr>
            <w:tcW w:type="dxa" w:w="2880"/>
          </w:tcPr>
          <w:p>
            <w:r>
              <w:t>Interest Cost</w:t>
            </w:r>
          </w:p>
        </w:tc>
        <w:tc>
          <w:tcPr>
            <w:tcW w:type="dxa" w:w="2880"/>
          </w:tcPr>
          <w:p>
            <w:r>
              <w:t>0,0</w:t>
            </w:r>
          </w:p>
        </w:tc>
        <w:tc>
          <w:tcPr>
            <w:tcW w:type="dxa" w:w="2880"/>
          </w:tcPr>
          <w:p>
            <w:r>
              <w:t>0,0</w:t>
            </w:r>
          </w:p>
        </w:tc>
      </w:tr>
    </w:tbl>
    <w:p>
      <w:pPr>
        <w:pStyle w:val="Heading3"/>
      </w:pPr>
      <w:r>
        <w:t>5. Versicherungsmathematische Gewinne und Verluste</w:t>
      </w:r>
    </w:p>
    <w:p>
      <w:r>
        <w:t>Die Neubewertungen aus Aenderungen finanzieller Annahmen (insbesondere Diskontierungszinssatz von 1,10 % auf 3,75 %) und demografischer Annahmen werden gemaess IAS 19.127 (Remeasurements) erfolgsneutral im sonstigen Ergebnis (OCI) erfasst.</w:t>
      </w:r>
    </w:p>
    <w:p>
      <w:r>
        <w:t>Erfahrungsbedingte Abweichungen (Fluktuation, Gehaltsentwicklung, Sterblichkeit) wurden ausgewertet und in den Annahmen reflektiert. Eine wesentliche Aenderung der demografischen Basis (RT 2018 G) wird nicht empfohlen.</w:t>
      </w:r>
    </w:p>
    <w:p>
      <w:pPr>
        <w:pStyle w:val="Heading3"/>
      </w:pPr>
      <w:r>
        <w:t>6. Sensitivitaetsanalyse (IAS 19.145)</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Parametervariation</w:t>
            </w:r>
          </w:p>
        </w:tc>
        <w:tc>
          <w:tcPr>
            <w:tcW w:type="dxa" w:w="2880"/>
          </w:tcPr>
          <w:p>
            <w:r>
              <w:t>DBO-Wirkung (Mio. EUR)</w:t>
            </w:r>
          </w:p>
        </w:tc>
        <w:tc>
          <w:tcPr>
            <w:tcW w:type="dxa" w:w="2880"/>
          </w:tcPr>
          <w:p>
            <w:r>
              <w:t>in %</w:t>
            </w:r>
          </w:p>
        </w:tc>
      </w:tr>
      <w:tr>
        <w:tc>
          <w:tcPr>
            <w:tcW w:type="dxa" w:w="2880"/>
          </w:tcPr>
          <w:p>
            <w:r>
              <w:t>Diskontsatz +0,50 %-Pkt.</w:t>
            </w:r>
          </w:p>
        </w:tc>
        <w:tc>
          <w:tcPr>
            <w:tcW w:type="dxa" w:w="2880"/>
          </w:tcPr>
          <w:p>
            <w:r>
              <w:t>-0,0</w:t>
            </w:r>
          </w:p>
        </w:tc>
        <w:tc>
          <w:tcPr>
            <w:tcW w:type="dxa" w:w="2880"/>
          </w:tcPr>
          <w:p>
            <w:r>
              <w:t>-7,8 %</w:t>
            </w:r>
          </w:p>
        </w:tc>
      </w:tr>
      <w:tr>
        <w:tc>
          <w:tcPr>
            <w:tcW w:type="dxa" w:w="2880"/>
          </w:tcPr>
          <w:p>
            <w:r>
              <w:t>Diskontsatz -0,50 %-Pkt.</w:t>
            </w:r>
          </w:p>
        </w:tc>
        <w:tc>
          <w:tcPr>
            <w:tcW w:type="dxa" w:w="2880"/>
          </w:tcPr>
          <w:p>
            <w:r>
              <w:t>+0,0</w:t>
            </w:r>
          </w:p>
        </w:tc>
        <w:tc>
          <w:tcPr>
            <w:tcW w:type="dxa" w:w="2880"/>
          </w:tcPr>
          <w:p>
            <w:r>
              <w:t>+8,4 %</w:t>
            </w:r>
          </w:p>
        </w:tc>
      </w:tr>
      <w:tr>
        <w:tc>
          <w:tcPr>
            <w:tcW w:type="dxa" w:w="2880"/>
          </w:tcPr>
          <w:p>
            <w:r>
              <w:t>Gehaltstrend +0,50 %-Pkt.</w:t>
            </w:r>
          </w:p>
        </w:tc>
        <w:tc>
          <w:tcPr>
            <w:tcW w:type="dxa" w:w="2880"/>
          </w:tcPr>
          <w:p>
            <w:r>
              <w:t>+0,0</w:t>
            </w:r>
          </w:p>
        </w:tc>
        <w:tc>
          <w:tcPr>
            <w:tcW w:type="dxa" w:w="2880"/>
          </w:tcPr>
          <w:p>
            <w:r>
              <w:t>+2,7 %</w:t>
            </w:r>
          </w:p>
        </w:tc>
      </w:tr>
      <w:tr>
        <w:tc>
          <w:tcPr>
            <w:tcW w:type="dxa" w:w="2880"/>
          </w:tcPr>
          <w:p>
            <w:r>
              <w:t>Rententrend +0,25 %-Pkt.</w:t>
            </w:r>
          </w:p>
        </w:tc>
        <w:tc>
          <w:tcPr>
            <w:tcW w:type="dxa" w:w="2880"/>
          </w:tcPr>
          <w:p>
            <w:r>
              <w:t>+0,0</w:t>
            </w:r>
          </w:p>
        </w:tc>
        <w:tc>
          <w:tcPr>
            <w:tcW w:type="dxa" w:w="2880"/>
          </w:tcPr>
          <w:p>
            <w:r>
              <w:t>+3,4 %</w:t>
            </w:r>
          </w:p>
        </w:tc>
      </w:tr>
      <w:tr>
        <w:tc>
          <w:tcPr>
            <w:tcW w:type="dxa" w:w="2880"/>
          </w:tcPr>
          <w:p>
            <w:r>
              <w:t>Lebenserwartung +1 Jahr</w:t>
            </w:r>
          </w:p>
        </w:tc>
        <w:tc>
          <w:tcPr>
            <w:tcW w:type="dxa" w:w="2880"/>
          </w:tcPr>
          <w:p>
            <w:r>
              <w:t>+0,0</w:t>
            </w:r>
          </w:p>
        </w:tc>
        <w:tc>
          <w:tcPr>
            <w:tcW w:type="dxa" w:w="2880"/>
          </w:tcPr>
          <w:p>
            <w:r>
              <w:t>+3,8 %</w:t>
            </w:r>
          </w:p>
        </w:tc>
      </w:tr>
    </w:tbl>
    <w:p>
      <w:pPr>
        <w:pStyle w:val="Heading3"/>
      </w:pPr>
      <w:r>
        <w:t>7. Bestaetigung des Aktuars</w:t>
      </w:r>
    </w:p>
    <w:p>
      <w:r>
        <w:t>Wir bestaetigen, dass das vorliegende Gutachten unter Beachtung der berufsstaendischen Grundsaetze der Deutschen Aktuarvereinigung e.V. (DAV) und nach den Vorgaben des IAS 19 (revised 2011) sowie HGB § 253 i.V.m. RuekStuckV erstellt wurde. Die im Gutachten verwendeten Daten wurden von der Brennhagen Elektronik AG zur Verfuegung gestellt und auf Plausibilitaet geprueft.</w:t>
      </w:r>
    </w:p>
    <w:p>
      <w:r>
        <w:t>Heubeck AG, Koeln, im Februar 2023</w:t>
        <w:br/>
        <w:t>Dipl.-Math. Andreas Geyer (Lead-Aktuar, DAV-Mitglied Nr. 4271)</w:t>
        <w:br/>
        <w:t>Aktuar Junior: Anna-Lena Becker, M.Sc.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