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2021 – RSG (Brennhagen Software GmbH, Muenchen)</w:t>
      </w:r>
    </w:p>
    <w:p>
      <w:pPr>
        <w:jc w:val="center"/>
      </w:pPr>
      <w:r>
        <w:t>IFRS IAS 19 / HGB § 253 Abs. 2 / BilMoG  |  Stichtag 31.12.2021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2021 fuer den Pensionsplan »RSG«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(beitragsorientiert, Verzinsung 2,75 %).</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31.12.2021</w:t>
            </w:r>
          </w:p>
        </w:tc>
        <w:tc>
          <w:tcPr>
            <w:tcW w:type="dxa" w:w="2160"/>
          </w:tcPr>
          <w:p>
            <w:r>
              <w:t>31.12.2020</w:t>
            </w:r>
          </w:p>
        </w:tc>
        <w:tc>
          <w:tcPr>
            <w:tcW w:type="dxa" w:w="2160"/>
          </w:tcPr>
          <w:p>
            <w:r>
              <w:t>Bemerkung</w:t>
            </w:r>
          </w:p>
        </w:tc>
      </w:tr>
      <w:tr>
        <w:tc>
          <w:tcPr>
            <w:tcW w:type="dxa" w:w="2160"/>
          </w:tcPr>
          <w:p>
            <w:r>
              <w:t>Diskontierungszinssatz IFRS</w:t>
            </w:r>
          </w:p>
        </w:tc>
        <w:tc>
          <w:tcPr>
            <w:tcW w:type="dxa" w:w="2160"/>
          </w:tcPr>
          <w:p>
            <w:r>
              <w:t>1,10 %</w:t>
            </w:r>
          </w:p>
        </w:tc>
        <w:tc>
          <w:tcPr>
            <w:tcW w:type="dxa" w:w="2160"/>
          </w:tcPr>
          <w:p>
            <w:r>
              <w:t>0,95 %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145</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18</w:t>
            </w:r>
          </w:p>
        </w:tc>
        <w:tc>
          <w:tcPr>
            <w:tcW w:type="dxa" w:w="2160"/>
          </w:tcPr>
          <w:p>
            <w:r>
              <w:t>52</w:t>
            </w:r>
          </w:p>
        </w:tc>
        <w:tc>
          <w:tcPr>
            <w:tcW w:type="dxa" w:w="2160"/>
          </w:tcPr>
          <w:p>
            <w:r>
              <w:t>—</w:t>
            </w:r>
          </w:p>
        </w:tc>
      </w:tr>
      <w:tr>
        <w:tc>
          <w:tcPr>
            <w:tcW w:type="dxa" w:w="2160"/>
          </w:tcPr>
          <w:p>
            <w:r>
              <w:t>Laufende Rentner / Hinterbliebene</w:t>
            </w:r>
          </w:p>
        </w:tc>
        <w:tc>
          <w:tcPr>
            <w:tcW w:type="dxa" w:w="2160"/>
          </w:tcPr>
          <w:p>
            <w:r>
              <w:t>22</w:t>
            </w:r>
          </w:p>
        </w:tc>
        <w:tc>
          <w:tcPr>
            <w:tcW w:type="dxa" w:w="2160"/>
          </w:tcPr>
          <w:p>
            <w:r>
              <w:t>71</w:t>
            </w:r>
          </w:p>
        </w:tc>
        <w:tc>
          <w:tcPr>
            <w:tcW w:type="dxa" w:w="2160"/>
          </w:tcPr>
          <w:p>
            <w:r>
              <w:t>—</w:t>
            </w:r>
          </w:p>
        </w:tc>
      </w:tr>
      <w:tr>
        <w:tc>
          <w:tcPr>
            <w:tcW w:type="dxa" w:w="2160"/>
          </w:tcPr>
          <w:p>
            <w:r>
              <w:t>Gesamt</w:t>
            </w:r>
          </w:p>
        </w:tc>
        <w:tc>
          <w:tcPr>
            <w:tcW w:type="dxa" w:w="2160"/>
          </w:tcPr>
          <w:p>
            <w:r>
              <w:t>185</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31.12.2021 (Mio. EUR)</w:t>
            </w:r>
          </w:p>
        </w:tc>
        <w:tc>
          <w:tcPr>
            <w:tcW w:type="dxa" w:w="2880"/>
          </w:tcPr>
          <w:p>
            <w:r>
              <w:t>31.12.2020 (Mio. EUR)</w:t>
            </w:r>
          </w:p>
        </w:tc>
      </w:tr>
      <w:tr>
        <w:tc>
          <w:tcPr>
            <w:tcW w:type="dxa" w:w="2880"/>
          </w:tcPr>
          <w:p>
            <w:r>
              <w:t>DBO RSG gesamt</w:t>
            </w:r>
          </w:p>
        </w:tc>
        <w:tc>
          <w:tcPr>
            <w:tcW w:type="dxa" w:w="2880"/>
          </w:tcPr>
          <w:p>
            <w:r>
              <w:t>16,1</w:t>
            </w:r>
          </w:p>
        </w:tc>
        <w:tc>
          <w:tcPr>
            <w:tcW w:type="dxa" w:w="2880"/>
          </w:tcPr>
          <w:p>
            <w:r>
              <w:t>15,1</w:t>
            </w:r>
          </w:p>
        </w:tc>
      </w:tr>
      <w:tr>
        <w:tc>
          <w:tcPr>
            <w:tcW w:type="dxa" w:w="2880"/>
          </w:tcPr>
          <w:p>
            <w:r>
              <w:t>davon Aktive</w:t>
            </w:r>
          </w:p>
        </w:tc>
        <w:tc>
          <w:tcPr>
            <w:tcW w:type="dxa" w:w="2880"/>
          </w:tcPr>
          <w:p>
            <w:r>
              <w:t>10,0</w:t>
            </w:r>
          </w:p>
        </w:tc>
        <w:tc>
          <w:tcPr>
            <w:tcW w:type="dxa" w:w="2880"/>
          </w:tcPr>
          <w:p>
            <w:r>
              <w:t>9,4</w:t>
            </w:r>
          </w:p>
        </w:tc>
      </w:tr>
      <w:tr>
        <w:tc>
          <w:tcPr>
            <w:tcW w:type="dxa" w:w="2880"/>
          </w:tcPr>
          <w:p>
            <w:r>
              <w:t>davon Ausgeschiedene</w:t>
            </w:r>
          </w:p>
        </w:tc>
        <w:tc>
          <w:tcPr>
            <w:tcW w:type="dxa" w:w="2880"/>
          </w:tcPr>
          <w:p>
            <w:r>
              <w:t>2,3</w:t>
            </w:r>
          </w:p>
        </w:tc>
        <w:tc>
          <w:tcPr>
            <w:tcW w:type="dxa" w:w="2880"/>
          </w:tcPr>
          <w:p>
            <w:r>
              <w:t>2,0</w:t>
            </w:r>
          </w:p>
        </w:tc>
      </w:tr>
      <w:tr>
        <w:tc>
          <w:tcPr>
            <w:tcW w:type="dxa" w:w="2880"/>
          </w:tcPr>
          <w:p>
            <w:r>
              <w:t>davon Rentner</w:t>
            </w:r>
          </w:p>
        </w:tc>
        <w:tc>
          <w:tcPr>
            <w:tcW w:type="dxa" w:w="2880"/>
          </w:tcPr>
          <w:p>
            <w:r>
              <w:t>3,9</w:t>
            </w:r>
          </w:p>
        </w:tc>
        <w:tc>
          <w:tcPr>
            <w:tcW w:type="dxa" w:w="2880"/>
          </w:tcPr>
          <w:p>
            <w:r>
              <w:t>3,8</w:t>
            </w:r>
          </w:p>
        </w:tc>
      </w:tr>
      <w:tr>
        <w:tc>
          <w:tcPr>
            <w:tcW w:type="dxa" w:w="2880"/>
          </w:tcPr>
          <w:p>
            <w:r>
              <w:t>Service Cost (laufender Dienstzeitaufwand)</w:t>
            </w:r>
          </w:p>
        </w:tc>
        <w:tc>
          <w:tcPr>
            <w:tcW w:type="dxa" w:w="2880"/>
          </w:tcPr>
          <w:p>
            <w:r>
              <w:t>0,7</w:t>
            </w:r>
          </w:p>
        </w:tc>
        <w:tc>
          <w:tcPr>
            <w:tcW w:type="dxa" w:w="2880"/>
          </w:tcPr>
          <w:p>
            <w:r>
              <w:t>0,6</w:t>
            </w:r>
          </w:p>
        </w:tc>
      </w:tr>
      <w:tr>
        <w:tc>
          <w:tcPr>
            <w:tcW w:type="dxa" w:w="2880"/>
          </w:tcPr>
          <w:p>
            <w:r>
              <w:t>Interest Cost</w:t>
            </w:r>
          </w:p>
        </w:tc>
        <w:tc>
          <w:tcPr>
            <w:tcW w:type="dxa" w:w="2880"/>
          </w:tcPr>
          <w:p>
            <w:r>
              <w:t>0,1</w:t>
            </w:r>
          </w:p>
        </w:tc>
        <w:tc>
          <w:tcPr>
            <w:tcW w:type="dxa" w:w="2880"/>
          </w:tcPr>
          <w:p>
            <w:r>
              <w:t>0,2</w:t>
            </w:r>
          </w:p>
        </w:tc>
      </w:tr>
    </w:tbl>
    <w:p>
      <w:pPr>
        <w:pStyle w:val="Heading3"/>
      </w:pPr>
      <w:r>
        <w:t>5. Versicherungsmathematische Gewinne und Verluste</w:t>
      </w:r>
    </w:p>
    <w:p>
      <w:r>
        <w:t>Die Neubewertungen aus Aenderungen finanzieller Annahmen (insbesondere Diskontierungszinssatz von 0,95 % auf 1,10 %)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-1,3</w:t>
            </w:r>
          </w:p>
        </w:tc>
        <w:tc>
          <w:tcPr>
            <w:tcW w:type="dxa" w:w="2880"/>
          </w:tcPr>
          <w:p>
            <w:r>
              <w:t>-7,8 %</w:t>
            </w:r>
          </w:p>
        </w:tc>
      </w:tr>
      <w:tr>
        <w:tc>
          <w:tcPr>
            <w:tcW w:type="dxa" w:w="2880"/>
          </w:tcPr>
          <w:p>
            <w:r>
              <w:t>Diskontsatz -0,50 %-Pkt.</w:t>
            </w:r>
          </w:p>
        </w:tc>
        <w:tc>
          <w:tcPr>
            <w:tcW w:type="dxa" w:w="2880"/>
          </w:tcPr>
          <w:p>
            <w:r>
              <w:t>+1,4</w:t>
            </w:r>
          </w:p>
        </w:tc>
        <w:tc>
          <w:tcPr>
            <w:tcW w:type="dxa" w:w="2880"/>
          </w:tcPr>
          <w:p>
            <w:r>
              <w:t>+8,4 %</w:t>
            </w:r>
          </w:p>
        </w:tc>
      </w:tr>
      <w:tr>
        <w:tc>
          <w:tcPr>
            <w:tcW w:type="dxa" w:w="2880"/>
          </w:tcPr>
          <w:p>
            <w:r>
              <w:t>Gehaltstrend +0,50 %-Pkt.</w:t>
            </w:r>
          </w:p>
        </w:tc>
        <w:tc>
          <w:tcPr>
            <w:tcW w:type="dxa" w:w="2880"/>
          </w:tcPr>
          <w:p>
            <w:r>
              <w:t>+0,4</w:t>
            </w:r>
          </w:p>
        </w:tc>
        <w:tc>
          <w:tcPr>
            <w:tcW w:type="dxa" w:w="2880"/>
          </w:tcPr>
          <w:p>
            <w:r>
              <w:t>+2,7 %</w:t>
            </w:r>
          </w:p>
        </w:tc>
      </w:tr>
      <w:tr>
        <w:tc>
          <w:tcPr>
            <w:tcW w:type="dxa" w:w="2880"/>
          </w:tcPr>
          <w:p>
            <w:r>
              <w:t>Rententrend +0,25 %-Pkt.</w:t>
            </w:r>
          </w:p>
        </w:tc>
        <w:tc>
          <w:tcPr>
            <w:tcW w:type="dxa" w:w="2880"/>
          </w:tcPr>
          <w:p>
            <w:r>
              <w:t>+0,5</w:t>
            </w:r>
          </w:p>
        </w:tc>
        <w:tc>
          <w:tcPr>
            <w:tcW w:type="dxa" w:w="2880"/>
          </w:tcPr>
          <w:p>
            <w:r>
              <w:t>+3,4 %</w:t>
            </w:r>
          </w:p>
        </w:tc>
      </w:tr>
      <w:tr>
        <w:tc>
          <w:tcPr>
            <w:tcW w:type="dxa" w:w="2880"/>
          </w:tcPr>
          <w:p>
            <w:r>
              <w:t>Lebenserwartung +1 Jahr</w:t>
            </w:r>
          </w:p>
        </w:tc>
        <w:tc>
          <w:tcPr>
            <w:tcW w:type="dxa" w:w="2880"/>
          </w:tcPr>
          <w:p>
            <w:r>
              <w:t>+0,6</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2022</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