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Management-Review: Auslandsplan RPL Katowice (PPK Polen) 2023</w:t>
      </w:r>
    </w:p>
    <w:p>
      <w:pPr>
        <w:jc w:val="center"/>
      </w:pPr>
      <w:r>
        <w:t>Bewertung defined-contribution-Plan / Brennhagen Polska Sp. z o.o.</w:t>
      </w:r>
    </w:p>
    <w:p/>
    <w:p>
      <w:pPr>
        <w:pStyle w:val="Heading3"/>
      </w:pPr>
      <w:r>
        <w:t>1. Auftrag und Zielsetzung</w:t>
      </w:r>
    </w:p>
    <w:p>
      <w:r>
        <w:t>Auf Anweisung des Group Treasurer (Markus Pflanzer) wurde der polnische Pensionsplan PPK (Pracownicze Plany Kapitalowe) der Brennhagen Polska Sp. z o.o. (RPL), Katowice, im Hinblick auf IAS-19-Klassifizierung, Beitragsstruktur und Performance des externen Anbieters NN Investment Partners TFI S.A. einer Managementbewertung unterzogen.</w:t>
      </w:r>
    </w:p>
    <w:p>
      <w:pPr>
        <w:pStyle w:val="Heading3"/>
      </w:pPr>
      <w:r>
        <w:t>2. Eckdaten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Anbieter / Verwalter</w:t>
            </w:r>
          </w:p>
        </w:tc>
        <w:tc>
          <w:tcPr>
            <w:tcW w:type="dxa" w:w="4320"/>
          </w:tcPr>
          <w:p>
            <w:r>
              <w:t>NN Investment Partners TFI S.A., Warschau</w:t>
            </w:r>
          </w:p>
        </w:tc>
      </w:tr>
      <w:tr>
        <w:tc>
          <w:tcPr>
            <w:tcW w:type="dxa" w:w="4320"/>
          </w:tcPr>
          <w:p>
            <w:r>
              <w:t>Plantyp</w:t>
            </w:r>
          </w:p>
        </w:tc>
        <w:tc>
          <w:tcPr>
            <w:tcW w:type="dxa" w:w="4320"/>
          </w:tcPr>
          <w:p>
            <w:r>
              <w:t>Defined Contribution (PPK gesetzlich verpflichtend)</w:t>
            </w:r>
          </w:p>
        </w:tc>
      </w:tr>
      <w:tr>
        <w:tc>
          <w:tcPr>
            <w:tcW w:type="dxa" w:w="4320"/>
          </w:tcPr>
          <w:p>
            <w:r>
              <w:t>IAS-19-Klassifikation</w:t>
            </w:r>
          </w:p>
        </w:tc>
        <w:tc>
          <w:tcPr>
            <w:tcW w:type="dxa" w:w="4320"/>
          </w:tcPr>
          <w:p>
            <w:r>
              <w:t>Beitragsorientierter Plan, IAS 19.50</w:t>
            </w:r>
          </w:p>
        </w:tc>
      </w:tr>
      <w:tr>
        <w:tc>
          <w:tcPr>
            <w:tcW w:type="dxa" w:w="4320"/>
          </w:tcPr>
          <w:p>
            <w:r>
              <w:t>Aktive Mitarbeiter (TN)</w:t>
            </w:r>
          </w:p>
        </w:tc>
        <w:tc>
          <w:tcPr>
            <w:tcW w:type="dxa" w:w="4320"/>
          </w:tcPr>
          <w:p>
            <w:r>
              <w:t>748 von 960 (78 %)</w:t>
            </w:r>
          </w:p>
        </w:tc>
      </w:tr>
      <w:tr>
        <w:tc>
          <w:tcPr>
            <w:tcW w:type="dxa" w:w="4320"/>
          </w:tcPr>
          <w:p>
            <w:r>
              <w:t>Arbeitgeberbeitrag (RPL)</w:t>
            </w:r>
          </w:p>
        </w:tc>
        <w:tc>
          <w:tcPr>
            <w:tcW w:type="dxa" w:w="4320"/>
          </w:tcPr>
          <w:p>
            <w:r>
              <w:t>1,5 % Bruttogehalt (gesetzlicher Mindestbeitrag)</w:t>
            </w:r>
          </w:p>
        </w:tc>
      </w:tr>
      <w:tr>
        <w:tc>
          <w:tcPr>
            <w:tcW w:type="dxa" w:w="4320"/>
          </w:tcPr>
          <w:p>
            <w:r>
              <w:t>Arbeitgeber-Zusatzbeitrag</w:t>
            </w:r>
          </w:p>
        </w:tc>
        <w:tc>
          <w:tcPr>
            <w:tcW w:type="dxa" w:w="4320"/>
          </w:tcPr>
          <w:p>
            <w:r>
              <w:t>0,5 % freiwillig (Beschluss VL 2022)</w:t>
            </w:r>
          </w:p>
        </w:tc>
      </w:tr>
      <w:tr>
        <w:tc>
          <w:tcPr>
            <w:tcW w:type="dxa" w:w="4320"/>
          </w:tcPr>
          <w:p>
            <w:r>
              <w:t>Arbeitnehmerbeitrag</w:t>
            </w:r>
          </w:p>
        </w:tc>
        <w:tc>
          <w:tcPr>
            <w:tcW w:type="dxa" w:w="4320"/>
          </w:tcPr>
          <w:p>
            <w:r>
              <w:t>2,0 % (gesetzlich) + bis 2,0 % freiwillig</w:t>
            </w:r>
          </w:p>
        </w:tc>
      </w:tr>
      <w:tr>
        <w:tc>
          <w:tcPr>
            <w:tcW w:type="dxa" w:w="4320"/>
          </w:tcPr>
          <w:p>
            <w:r>
              <w:t>Staatlicher Welcome-Bonus</w:t>
            </w:r>
          </w:p>
        </w:tc>
        <w:tc>
          <w:tcPr>
            <w:tcW w:type="dxa" w:w="4320"/>
          </w:tcPr>
          <w:p>
            <w:r>
              <w:t>250 PLN/Eintritt</w:t>
            </w:r>
          </w:p>
        </w:tc>
      </w:tr>
      <w:tr>
        <w:tc>
          <w:tcPr>
            <w:tcW w:type="dxa" w:w="4320"/>
          </w:tcPr>
          <w:p>
            <w:r>
              <w:t>Beitragsvolumen 2023 (PLN)</w:t>
            </w:r>
          </w:p>
        </w:tc>
        <w:tc>
          <w:tcPr>
            <w:tcW w:type="dxa" w:w="4320"/>
          </w:tcPr>
          <w:p>
            <w:r>
              <w:t>8,4 Mio. PLN (RPL-Anteil)</w:t>
            </w:r>
          </w:p>
        </w:tc>
      </w:tr>
      <w:tr>
        <w:tc>
          <w:tcPr>
            <w:tcW w:type="dxa" w:w="4320"/>
          </w:tcPr>
          <w:p>
            <w:r>
              <w:t>Beitragsvolumen 2023 (EUR)</w:t>
            </w:r>
          </w:p>
        </w:tc>
        <w:tc>
          <w:tcPr>
            <w:tcW w:type="dxa" w:w="4320"/>
          </w:tcPr>
          <w:p>
            <w:r>
              <w:t>1,87 Mio. EUR (Kurs 4,48)</w:t>
            </w:r>
          </w:p>
        </w:tc>
      </w:tr>
    </w:tbl>
    <w:p>
      <w:pPr>
        <w:pStyle w:val="Heading3"/>
      </w:pPr>
      <w:r>
        <w:t>3. Bilanzielle Behandlung Konzern</w:t>
      </w:r>
    </w:p>
    <w:p>
      <w:r>
        <w:t>Da es sich um einen beitragsorientierten Plan handelt, werden die Beitraege als laufender Personalaufwand erfasst (IAS 19.51). Es entsteht keine DBO und kein Plan-Asset auf Konzernebene. Die Beitraege fliessen direkt an NN Investment Partners; das Anlagerisiko traegt der einzelne Arbeitnehmer.</w:t>
      </w:r>
    </w:p>
    <w:p>
      <w:r>
        <w:t>Eine Risikoeinschaetzung aus Sicht der Brennhagen-Gruppe ist daher auf das Beitragsvolumen (operatives Cost-Risk) beschraenkt.</w:t>
      </w:r>
    </w:p>
    <w:p>
      <w:pPr>
        <w:pStyle w:val="Heading3"/>
      </w:pPr>
      <w:r>
        <w:t>4. Fazit / Empfehlung</w:t>
      </w:r>
    </w:p>
    <w:p>
      <w:r>
        <w:t>Der Plan wird als unverdaechtig beurteilt. Empfehlungen: (a) Beitragsstabilitaet sicherstellen, (b) jaehrliches Reporting an Group HR durch RPL HR (Anna Kowalska), (c) Pruefung Verschmelzung mit anderen EU-Auslandsplaenen im Rahmen einer EBA-Initiative 2025.</w:t>
      </w:r>
    </w:p>
    <w:p>
      <w:r>
        <w:t>Geprueft: Markus Pflanzer (Group Treasurer), 12.12.2023.</w:t>
        <w:br/>
        <w:t>Reviewed: Dr. Heike Berger (Group Tax / IFRS), 19.12.2023.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