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Pensionsrisiko-Analyse 2023 – ALM-Studie und Stresstest</w:t>
      </w:r>
    </w:p>
    <w:p>
      <w:pPr>
        <w:jc w:val="center"/>
      </w:pPr>
      <w:r>
        <w:t>Asset-Liability-Matching  |  Stichtag 31.12.2023  |  Erstellt fuer Investment Committee und Pruefungsausschuss</w:t>
      </w:r>
    </w:p>
    <w:p/>
    <w:p>
      <w:pPr>
        <w:pStyle w:val="Heading3"/>
      </w:pPr>
      <w:r>
        <w:t>1. Management Summary</w:t>
      </w:r>
    </w:p>
    <w:p>
      <w:r>
        <w:t>Die Nettoverpflichtung aus leistungsorientierten Pensionsplaenen betraegt zum 31.12.2023 45,8 Mio. EUR (DBO 78,4 Mio. EUR ./. Plan-Assets 32,6 Mio. EUR). Die Ausfinanzierungsquote (Funding Ratio) liegt damit bei 41,6 % und ist gegenueber Vorjahr (38,9 %) leicht verbessert.</w:t>
      </w:r>
    </w:p>
    <w:p>
      <w:r>
        <w:t>Hauptrisiken: Zinsaenderungsrisiko (DBO-Duration 14,2 Jahre), Langlebigkeitsrisiko, Inflationsrisiko (Rententrend), Asset-Risiko Equity-Quote 34 %.</w:t>
      </w:r>
    </w:p>
    <w:p>
      <w:pPr>
        <w:pStyle w:val="Heading3"/>
      </w:pPr>
      <w:r>
        <w:t>2. Sensitivitaeten (DBO 78,4 Mio.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Stressszenario</w:t>
            </w:r>
          </w:p>
        </w:tc>
        <w:tc>
          <w:tcPr>
            <w:tcW w:type="dxa" w:w="2880"/>
          </w:tcPr>
          <w:p>
            <w:r>
              <w:t>DBO-Wirkung (Mio. EUR)</w:t>
            </w:r>
          </w:p>
        </w:tc>
        <w:tc>
          <w:tcPr>
            <w:tcW w:type="dxa" w:w="2880"/>
          </w:tcPr>
          <w:p>
            <w:r>
              <w:t>Funding Ratio neu</w:t>
            </w:r>
          </w:p>
        </w:tc>
      </w:tr>
      <w:tr>
        <w:tc>
          <w:tcPr>
            <w:tcW w:type="dxa" w:w="2880"/>
          </w:tcPr>
          <w:p>
            <w:r>
              <w:t>Diskontsatz -100 bp (von 3,40 auf 2,40 %)</w:t>
            </w:r>
          </w:p>
        </w:tc>
        <w:tc>
          <w:tcPr>
            <w:tcW w:type="dxa" w:w="2880"/>
          </w:tcPr>
          <w:p>
            <w:r>
              <w:t>+12,8</w:t>
            </w:r>
          </w:p>
        </w:tc>
        <w:tc>
          <w:tcPr>
            <w:tcW w:type="dxa" w:w="2880"/>
          </w:tcPr>
          <w:p>
            <w:r>
              <w:t>35,7 %</w:t>
            </w:r>
          </w:p>
        </w:tc>
      </w:tr>
      <w:tr>
        <w:tc>
          <w:tcPr>
            <w:tcW w:type="dxa" w:w="2880"/>
          </w:tcPr>
          <w:p>
            <w:r>
              <w:t>Diskontsatz +100 bp</w:t>
            </w:r>
          </w:p>
        </w:tc>
        <w:tc>
          <w:tcPr>
            <w:tcW w:type="dxa" w:w="2880"/>
          </w:tcPr>
          <w:p>
            <w:r>
              <w:t>-10,4</w:t>
            </w:r>
          </w:p>
        </w:tc>
        <w:tc>
          <w:tcPr>
            <w:tcW w:type="dxa" w:w="2880"/>
          </w:tcPr>
          <w:p>
            <w:r>
              <w:t>48,0 %</w:t>
            </w:r>
          </w:p>
        </w:tc>
      </w:tr>
      <w:tr>
        <w:tc>
          <w:tcPr>
            <w:tcW w:type="dxa" w:w="2880"/>
          </w:tcPr>
          <w:p>
            <w:r>
              <w:t>Inflation/Rententrend +50 bp</w:t>
            </w:r>
          </w:p>
        </w:tc>
        <w:tc>
          <w:tcPr>
            <w:tcW w:type="dxa" w:w="2880"/>
          </w:tcPr>
          <w:p>
            <w:r>
              <w:t>+4,8</w:t>
            </w:r>
          </w:p>
        </w:tc>
        <w:tc>
          <w:tcPr>
            <w:tcW w:type="dxa" w:w="2880"/>
          </w:tcPr>
          <w:p>
            <w:r>
              <w:t>39,1 %</w:t>
            </w:r>
          </w:p>
        </w:tc>
      </w:tr>
      <w:tr>
        <w:tc>
          <w:tcPr>
            <w:tcW w:type="dxa" w:w="2880"/>
          </w:tcPr>
          <w:p>
            <w:r>
              <w:t>Lebenserwartung +1 Jahr</w:t>
            </w:r>
          </w:p>
        </w:tc>
        <w:tc>
          <w:tcPr>
            <w:tcW w:type="dxa" w:w="2880"/>
          </w:tcPr>
          <w:p>
            <w:r>
              <w:t>+3,0</w:t>
            </w:r>
          </w:p>
        </w:tc>
        <w:tc>
          <w:tcPr>
            <w:tcW w:type="dxa" w:w="2880"/>
          </w:tcPr>
          <w:p>
            <w:r>
              <w:t>40,0 %</w:t>
            </w:r>
          </w:p>
        </w:tc>
      </w:tr>
      <w:tr>
        <w:tc>
          <w:tcPr>
            <w:tcW w:type="dxa" w:w="2880"/>
          </w:tcPr>
          <w:p>
            <w:r>
              <w:t>Equity-Markt -30 %</w:t>
            </w:r>
          </w:p>
        </w:tc>
        <w:tc>
          <w:tcPr>
            <w:tcW w:type="dxa" w:w="2880"/>
          </w:tcPr>
          <w:p>
            <w:r>
              <w:t>Asset -3,3 Mio.</w:t>
            </w:r>
          </w:p>
        </w:tc>
        <w:tc>
          <w:tcPr>
            <w:tcW w:type="dxa" w:w="2880"/>
          </w:tcPr>
          <w:p>
            <w:r>
              <w:t>37,4 %</w:t>
            </w:r>
          </w:p>
        </w:tc>
      </w:tr>
      <w:tr>
        <w:tc>
          <w:tcPr>
            <w:tcW w:type="dxa" w:w="2880"/>
          </w:tcPr>
          <w:p>
            <w:r>
              <w:t>Stagflation (Zins -50bp, Infl. +100bp)</w:t>
            </w:r>
          </w:p>
        </w:tc>
        <w:tc>
          <w:tcPr>
            <w:tcW w:type="dxa" w:w="2880"/>
          </w:tcPr>
          <w:p>
            <w:r>
              <w:t>+11,2</w:t>
            </w:r>
          </w:p>
        </w:tc>
        <w:tc>
          <w:tcPr>
            <w:tcW w:type="dxa" w:w="2880"/>
          </w:tcPr>
          <w:p>
            <w:r>
              <w:t>36,4 %</w:t>
            </w:r>
          </w:p>
        </w:tc>
      </w:tr>
    </w:tbl>
    <w:p>
      <w:pPr>
        <w:pStyle w:val="Heading3"/>
      </w:pPr>
      <w:r>
        <w:t>3. Asset-Liability-Matching</w:t>
      </w:r>
    </w:p>
    <w:p>
      <w:r>
        <w:t>Die Duration der Verbindlichkeiten betraegt 14,2 Jahre, die Duration der Plan-Assets 8,7 Jahre - es besteht eine Duration Gap von 5,5 Jahren. Empfehlung des ALM-Beraters (BlackRock LDI-Team): Aufstockung des Long-Duration-Bond-Buckets um 4,5 Mio. EUR oder Einsatz von synthetischen Duration-Overlays (Interest-Rate-Swaps Receive-Fix 30Y).</w:t>
      </w:r>
    </w:p>
    <w:p>
      <w:r>
        <w:t>Die Entscheidung wird im Investment Committee im Q2-2024 diskutiert.</w:t>
      </w:r>
    </w:p>
    <w:p>
      <w:pPr>
        <w:pStyle w:val="Heading3"/>
      </w:pPr>
      <w:r>
        <w:t>4. Empfehlungen</w:t>
      </w:r>
    </w:p>
    <w:p>
      <w:pPr>
        <w:pStyle w:val="ListBullet"/>
      </w:pPr>
      <w:r>
        <w:t>Zustiftung 5 Mio. EUR in den Pension Trust e.V. in 2024 (CFO-Vorlage).</w:t>
      </w:r>
    </w:p>
    <w:p>
      <w:pPr>
        <w:pStyle w:val="ListBullet"/>
      </w:pPr>
      <w:r>
        <w:t>Pruefung Receive-Fix Swap 30Y zur Duration-Verlaengerung.</w:t>
      </w:r>
    </w:p>
    <w:p>
      <w:pPr>
        <w:pStyle w:val="ListBullet"/>
      </w:pPr>
      <w:r>
        <w:t>Eroeffnung Diskussion mit PSVaG zur Anpassung Beitragsklasse.</w:t>
      </w:r>
    </w:p>
    <w:p>
      <w:pPr>
        <w:pStyle w:val="ListBullet"/>
      </w:pPr>
      <w:r>
        <w:t>Annual ALM-Review durch Heubeck AG bestaetigen (Mandat verlaengern).</w:t>
      </w:r>
    </w:p>
    <w:p>
      <w:pPr>
        <w:pStyle w:val="Heading3"/>
      </w:pPr>
      <w:r>
        <w:t>5. Genehmigungen</w:t>
      </w:r>
    </w:p>
    <w:p>
      <w:r>
        <w:t>Ort, Datum: Stuttgart, den 22.02.2024</w:t>
      </w:r>
    </w:p>
    <w:p>
      <w:r>
        <w:t>_________________________            _________________________</w:t>
        <w:br/>
        <w:t>Laura Bauer                          Markus Pflanzer</w:t>
        <w:br/>
        <w:t>CFO / Vorsitz Investment Committee                          Group Treasurer / Pensionsbeauftragter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