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Konzern-Versorgungsplan: Neuzusage 2015 (konzernweit)</w:t>
      </w:r>
    </w:p>
    <w:p>
      <w:pPr>
        <w:jc w:val="center"/>
      </w:pPr>
      <w:r>
        <w:t>IAS 19 Plan Disclosure / Versorgungsordnung  |  Stichtag 31.12.2023  |  Brennhagen Elektronik AG IFRS-Konzernabschluss</w:t>
      </w:r>
    </w:p>
    <w:p/>
    <w:p>
      <w:pPr>
        <w:pStyle w:val="Heading3"/>
      </w:pPr>
      <w:r>
        <w:t>1. Planbeschreibung</w:t>
      </w:r>
    </w:p>
    <w:p>
      <w:r>
        <w:t>Versorgungsordnung des Werks/Plans RSG (Neuzusage 2015 (konzernweit)). Geltungsbereich gemaess Plan-Statuten.</w:t>
      </w:r>
    </w:p>
    <w:p>
      <w:r>
        <w:t>Der Plan wird gemaess IAS 19 (revised 2011) als leistungsorientierter Plan (defined benefit plan) klassifiziert. Die versicherungsmathematische Bewertung erfolgt jaehrlich durch die Heubeck AG, Koeln (Lead-Aktuar: Dipl.-Math. Andreas Geyer).</w:t>
      </w:r>
    </w:p>
    <w:p>
      <w:pPr>
        <w:pStyle w:val="Heading3"/>
      </w:pPr>
      <w:r>
        <w:t>2. Regelungsinhalt</w:t>
      </w:r>
    </w:p>
    <w:p>
      <w:pPr>
        <w:pStyle w:val="Heading4"/>
      </w:pPr>
      <w:r>
        <w:t>§ 1 Persoenlicher Geltungsbereich</w:t>
      </w:r>
    </w:p>
    <w:p>
      <w:r>
        <w:rPr>
          <w:b/>
        </w:rPr>
        <w:t xml:space="preserve">(1) </w:t>
      </w:r>
      <w:r>
        <w:t>Versorgungsberechtigt sind alle Mitarbeiterinnen und Mitarbeiter mit unbefristetem Arbeitsvertrag nach Vollendung des 21. Lebensjahres und einer Mindestbeschaeftigung von 12 Monaten.</w:t>
      </w:r>
    </w:p>
    <w:p>
      <w:pPr>
        <w:pStyle w:val="Heading4"/>
      </w:pPr>
      <w:r>
        <w:t>§ 2 Leistungsarten</w:t>
      </w:r>
    </w:p>
    <w:p>
      <w:r>
        <w:rPr>
          <w:b/>
        </w:rPr>
        <w:t xml:space="preserve">(1) </w:t>
      </w:r>
      <w:r>
        <w:t>Altersrente (ab Regelaltersgrenze 67), vorzeitige Altersrente (ab 63 mit Abschlag 0,3 %/Monat), Erwerbsminderungsrente, Hinterbliebenenrente, Waisenrente.</w:t>
      </w:r>
    </w:p>
    <w:p>
      <w:pPr>
        <w:pStyle w:val="Heading4"/>
      </w:pPr>
      <w:r>
        <w:t>§ 3 Finanzierung</w:t>
      </w:r>
    </w:p>
    <w:p>
      <w:r>
        <w:rPr>
          <w:b/>
        </w:rPr>
        <w:t xml:space="preserve">(1) </w:t>
      </w:r>
      <w:r>
        <w:t>Arbeitgeberbeitrag 3,5 % des Bemessungsentgelts (max. BBG-West). Entgeltumwandlung freiwillig im Rahmen § 1a BetrAVG, mit AG-Zuschuss 15 %.</w:t>
      </w:r>
    </w:p>
    <w:p>
      <w:r>
        <w:rPr>
          <w:b/>
        </w:rPr>
        <w:t xml:space="preserve">(2) </w:t>
      </w:r>
      <w:r>
        <w:t>Die Verpflichtungen werden durch ein Contractual Trust Arrangement (CTA, Brennhagen Pension Trust e.V., Stuttgart, 2018) sowie Rueckdeckungsversicherungen bei Talanx HDI und Allianz besichert.</w:t>
      </w:r>
    </w:p>
    <w:p>
      <w:pPr>
        <w:pStyle w:val="Heading4"/>
      </w:pPr>
      <w:r>
        <w:t>§ 4 Unverfallbarkeit</w:t>
      </w:r>
    </w:p>
    <w:p>
      <w:r>
        <w:rPr>
          <w:b/>
        </w:rPr>
        <w:t xml:space="preserve">(1) </w:t>
      </w:r>
      <w:r>
        <w:t>Gesetzliche Unverfallbarkeit gemaess § 1b BetrAVG (3 Jahre Zusagedauer, Vollendung 21. Lebensjahr). Bei Neuzusage 2015 sofort unverfallbar.</w:t>
      </w:r>
    </w:p>
    <w:p>
      <w:pPr>
        <w:pStyle w:val="Heading4"/>
      </w:pPr>
      <w:r>
        <w:t>§ 5 Anpassung</w:t>
      </w:r>
    </w:p>
    <w:p>
      <w:r>
        <w:rPr>
          <w:b/>
        </w:rPr>
        <w:t xml:space="preserve">(1) </w:t>
      </w:r>
      <w:r>
        <w:t>Laufende Renten werden gemaess § 16 BetrAVG alle 3 Jahre geprueft. Mindestanpassung in Hoehe des Verbraucherpreisindex (VPI).</w:t>
      </w:r>
    </w:p>
    <w:p>
      <w:pPr>
        <w:pStyle w:val="Heading3"/>
      </w:pPr>
      <w:r>
        <w:t>3. Beteiligte Konzerngesellschaften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Beteiligte MA (ca.)</w:t>
            </w:r>
          </w:p>
        </w:tc>
        <w:tc>
          <w:tcPr>
            <w:tcW w:type="dxa" w:w="2880"/>
          </w:tcPr>
          <w:p>
            <w:r>
              <w:t>Plan-Status</w:t>
            </w:r>
          </w:p>
        </w:tc>
      </w:tr>
      <w:tr>
        <w:tc>
          <w:tcPr>
            <w:tcW w:type="dxa" w:w="2880"/>
          </w:tcPr>
          <w:p>
            <w:r>
              <w:t>Brennhagen Elektronik AG (Holding/Vorstand)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Brennhagen Elektronik GmbH (REG Heilbronn)</w:t>
            </w:r>
          </w:p>
        </w:tc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U-Kasse</w:t>
            </w:r>
          </w:p>
        </w:tc>
      </w:tr>
      <w:tr>
        <w:tc>
          <w:tcPr>
            <w:tcW w:type="dxa" w:w="2880"/>
          </w:tcPr>
          <w:p>
            <w:r>
              <w:t>Brennhagen Software GmbH (RSG Muenchen)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Direktzusage NZ-2015</w:t>
            </w:r>
          </w:p>
        </w:tc>
      </w:tr>
      <w:tr>
        <w:tc>
          <w:tcPr>
            <w:tcW w:type="dxa" w:w="2880"/>
          </w:tcPr>
          <w:p>
            <w:r>
              <w:t>Brennhagen Holding GmbH (RHO Stuttgart)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Auslandstoechter (RPL/RCZ/RHU/RCN)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defined contribution</w:t>
            </w:r>
          </w:p>
        </w:tc>
      </w:tr>
    </w:tbl>
    <w:p>
      <w:pPr>
        <w:pStyle w:val="Heading3"/>
      </w:pPr>
      <w:r>
        <w:t>4. Quantitative IAS-19-Angaben zum Stichtag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31.12.2023 (Mio. EUR)</w:t>
            </w:r>
          </w:p>
        </w:tc>
        <w:tc>
          <w:tcPr>
            <w:tcW w:type="dxa" w:w="2880"/>
          </w:tcPr>
          <w:p>
            <w:r>
              <w:t>31.12.2022 (Mio. EUR)</w:t>
            </w:r>
          </w:p>
        </w:tc>
      </w:tr>
      <w:tr>
        <w:tc>
          <w:tcPr>
            <w:tcW w:type="dxa" w:w="2880"/>
          </w:tcPr>
          <w:p>
            <w:r>
              <w:t>Defined Benefit Obligation (DBO)</w:t>
            </w:r>
          </w:p>
        </w:tc>
        <w:tc>
          <w:tcPr>
            <w:tcW w:type="dxa" w:w="2880"/>
          </w:tcPr>
          <w:p>
            <w:r>
              <w:t>18,4</w:t>
            </w:r>
          </w:p>
        </w:tc>
        <w:tc>
          <w:tcPr>
            <w:tcW w:type="dxa" w:w="2880"/>
          </w:tcPr>
          <w:p>
            <w:r>
              <w:t>17,3</w:t>
            </w:r>
          </w:p>
        </w:tc>
      </w:tr>
      <w:tr>
        <w:tc>
          <w:tcPr>
            <w:tcW w:type="dxa" w:w="2880"/>
          </w:tcPr>
          <w:p>
            <w:r>
              <w:t>Beizulegender Zeitwert Planvermoegen</w:t>
            </w:r>
          </w:p>
        </w:tc>
        <w:tc>
          <w:tcPr>
            <w:tcW w:type="dxa" w:w="2880"/>
          </w:tcPr>
          <w:p>
            <w:r>
              <w:t>7,7</w:t>
            </w:r>
          </w:p>
        </w:tc>
        <w:tc>
          <w:tcPr>
            <w:tcW w:type="dxa" w:w="2880"/>
          </w:tcPr>
          <w:p>
            <w:r>
              <w:t>7,1</w:t>
            </w:r>
          </w:p>
        </w:tc>
      </w:tr>
      <w:tr>
        <w:tc>
          <w:tcPr>
            <w:tcW w:type="dxa" w:w="2880"/>
          </w:tcPr>
          <w:p>
            <w:r>
              <w:t>Nettoverpflichtung (Bilanz)</w:t>
            </w:r>
          </w:p>
        </w:tc>
        <w:tc>
          <w:tcPr>
            <w:tcW w:type="dxa" w:w="2880"/>
          </w:tcPr>
          <w:p>
            <w:r>
              <w:t>10,7</w:t>
            </w:r>
          </w:p>
        </w:tc>
        <w:tc>
          <w:tcPr>
            <w:tcW w:type="dxa" w:w="2880"/>
          </w:tcPr>
          <w:p>
            <w:r>
              <w:t>10,2</w:t>
            </w:r>
          </w:p>
        </w:tc>
      </w:tr>
      <w:tr>
        <w:tc>
          <w:tcPr>
            <w:tcW w:type="dxa" w:w="2880"/>
          </w:tcPr>
          <w:p>
            <w:r>
              <w:t>Aktivische Hoechstwertbegrenzung (Asset Ceiling)</w:t>
            </w:r>
          </w:p>
        </w:tc>
        <w:tc>
          <w:tcPr>
            <w:tcW w:type="dxa" w:w="2880"/>
          </w:tcPr>
          <w:p>
            <w:r>
              <w:t>0,0</w:t>
            </w:r>
          </w:p>
        </w:tc>
        <w:tc>
          <w:tcPr>
            <w:tcW w:type="dxa" w:w="2880"/>
          </w:tcPr>
          <w:p>
            <w:r>
              <w:t>0,0</w:t>
            </w:r>
          </w:p>
        </w:tc>
      </w:tr>
      <w:tr>
        <w:tc>
          <w:tcPr>
            <w:tcW w:type="dxa" w:w="2880"/>
          </w:tcPr>
          <w:p>
            <w:r>
              <w:t>Service Cost (laufender Aufwand)</w:t>
            </w:r>
          </w:p>
        </w:tc>
        <w:tc>
          <w:tcPr>
            <w:tcW w:type="dxa" w:w="2880"/>
          </w:tcPr>
          <w:p>
            <w:r>
              <w:t>0,8</w:t>
            </w:r>
          </w:p>
        </w:tc>
        <w:tc>
          <w:tcPr>
            <w:tcW w:type="dxa" w:w="2880"/>
          </w:tcPr>
          <w:p>
            <w:r>
              <w:t>0,7</w:t>
            </w:r>
          </w:p>
        </w:tc>
      </w:tr>
      <w:tr>
        <w:tc>
          <w:tcPr>
            <w:tcW w:type="dxa" w:w="2880"/>
          </w:tcPr>
          <w:p>
            <w:r>
              <w:t>Net Interest</w:t>
            </w:r>
          </w:p>
        </w:tc>
        <w:tc>
          <w:tcPr>
            <w:tcW w:type="dxa" w:w="2880"/>
          </w:tcPr>
          <w:p>
            <w:r>
              <w:t>0,4</w:t>
            </w:r>
          </w:p>
        </w:tc>
        <w:tc>
          <w:tcPr>
            <w:tcW w:type="dxa" w:w="2880"/>
          </w:tcPr>
          <w:p>
            <w:r>
              <w:t>0,4</w:t>
            </w:r>
          </w:p>
        </w:tc>
      </w:tr>
    </w:tbl>
    <w:p>
      <w:pPr>
        <w:pStyle w:val="Heading3"/>
      </w:pPr>
      <w:r>
        <w:t>5. Asset Allocation Planvermoegen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Anlageklasse</w:t>
            </w:r>
          </w:p>
        </w:tc>
        <w:tc>
          <w:tcPr>
            <w:tcW w:type="dxa" w:w="2160"/>
          </w:tcPr>
          <w:p>
            <w:r>
              <w:t>Quote 2023</w:t>
            </w:r>
          </w:p>
        </w:tc>
        <w:tc>
          <w:tcPr>
            <w:tcW w:type="dxa" w:w="2160"/>
          </w:tcPr>
          <w:p>
            <w:r>
              <w:t>Quote 2022</w:t>
            </w:r>
          </w:p>
        </w:tc>
        <w:tc>
          <w:tcPr>
            <w:tcW w:type="dxa" w:w="2160"/>
          </w:tcPr>
          <w:p>
            <w:r>
              <w:t>Strategische Bandbreite</w:t>
            </w:r>
          </w:p>
        </w:tc>
      </w:tr>
      <w:tr>
        <w:tc>
          <w:tcPr>
            <w:tcW w:type="dxa" w:w="2160"/>
          </w:tcPr>
          <w:p>
            <w:r>
              <w:t>Anleihen Investment Grade</w:t>
            </w:r>
          </w:p>
        </w:tc>
        <w:tc>
          <w:tcPr>
            <w:tcW w:type="dxa" w:w="2160"/>
          </w:tcPr>
          <w:p>
            <w:r>
              <w:t>52 %</w:t>
            </w:r>
          </w:p>
        </w:tc>
        <w:tc>
          <w:tcPr>
            <w:tcW w:type="dxa" w:w="2160"/>
          </w:tcPr>
          <w:p>
            <w:r>
              <w:t>55 %</w:t>
            </w:r>
          </w:p>
        </w:tc>
        <w:tc>
          <w:tcPr>
            <w:tcW w:type="dxa" w:w="2160"/>
          </w:tcPr>
          <w:p>
            <w:r>
              <w:t>45-65 %</w:t>
            </w:r>
          </w:p>
        </w:tc>
      </w:tr>
      <w:tr>
        <w:tc>
          <w:tcPr>
            <w:tcW w:type="dxa" w:w="2160"/>
          </w:tcPr>
          <w:p>
            <w:r>
              <w:t>Aktien (Industrielaender)</w:t>
            </w:r>
          </w:p>
        </w:tc>
        <w:tc>
          <w:tcPr>
            <w:tcW w:type="dxa" w:w="2160"/>
          </w:tcPr>
          <w:p>
            <w:r>
              <w:t>28 %</w:t>
            </w:r>
          </w:p>
        </w:tc>
        <w:tc>
          <w:tcPr>
            <w:tcW w:type="dxa" w:w="2160"/>
          </w:tcPr>
          <w:p>
            <w:r>
              <w:t>26 %</w:t>
            </w:r>
          </w:p>
        </w:tc>
        <w:tc>
          <w:tcPr>
            <w:tcW w:type="dxa" w:w="2160"/>
          </w:tcPr>
          <w:p>
            <w:r>
              <w:t>20-35 %</w:t>
            </w:r>
          </w:p>
        </w:tc>
      </w:tr>
      <w:tr>
        <w:tc>
          <w:tcPr>
            <w:tcW w:type="dxa" w:w="2160"/>
          </w:tcPr>
          <w:p>
            <w:r>
              <w:t>Aktien (Emerging Markets)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Immobilien (offene Fonds)</w:t>
            </w:r>
          </w:p>
        </w:tc>
        <w:tc>
          <w:tcPr>
            <w:tcW w:type="dxa" w:w="2160"/>
          </w:tcPr>
          <w:p>
            <w:r>
              <w:t>8 %</w:t>
            </w:r>
          </w:p>
        </w:tc>
        <w:tc>
          <w:tcPr>
            <w:tcW w:type="dxa" w:w="2160"/>
          </w:tcPr>
          <w:p>
            <w:r>
              <w:t>7 %</w:t>
            </w:r>
          </w:p>
        </w:tc>
        <w:tc>
          <w:tcPr>
            <w:tcW w:type="dxa" w:w="2160"/>
          </w:tcPr>
          <w:p>
            <w:r>
              <w:t>5-12 %</w:t>
            </w:r>
          </w:p>
        </w:tc>
      </w:tr>
      <w:tr>
        <w:tc>
          <w:tcPr>
            <w:tcW w:type="dxa" w:w="2160"/>
          </w:tcPr>
          <w:p>
            <w:r>
              <w:t>Liquide Mittel / Geldmarkt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Alternative Investments (Private Debt)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0-5 %</w:t>
            </w:r>
          </w:p>
        </w:tc>
      </w:tr>
    </w:tbl>
    <w:p>
      <w:pPr>
        <w:pStyle w:val="Heading3"/>
      </w:pPr>
      <w:r>
        <w:t>6. Verantwortlichkeiten</w:t>
      </w:r>
    </w:p>
    <w:p>
      <w:r>
        <w:t>Pensionsbeauftragter: Markus Pflanzer (Group Treasurer).</w:t>
        <w:br/>
        <w:t>Aktuargutachten-Review IFRS: Dr. Heike Berger (Group Tax / IFRS).</w:t>
        <w:br/>
        <w:t>Asset-Allocation / ALM: Investment Committee (Vorsitz: Laura Bauer, CFO).</w:t>
        <w:br/>
        <w:t>Aktuar: Heubeck AG, Koeln. Wirtschaftspruefer: KPMG AG WPG.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