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Konzern-Innenrechnung Juli 2022 – Pensions-Service-Charge REG -&gt; REA</w:t>
      </w:r>
    </w:p>
    <w:p>
      <w:pPr>
        <w:jc w:val="center"/>
      </w:pPr>
      <w:r>
        <w:t>Intercompany-Rechnung IC-2022-07-PEN  |  Pensionsadministration Konzernumlage</w:t>
      </w:r>
    </w:p>
    <w:p/>
    <w:p>
      <w:pPr>
        <w:pStyle w:val="Heading3"/>
      </w:pPr>
      <w:r>
        <w:t>Rechnungssteller</w:t>
      </w:r>
    </w:p>
    <w:p>
      <w:r>
        <w:t>Brennhagen Elektronik AG (Konzernholding)</w:t>
        <w:br/>
        <w:t>Vaihinger Straße 120, 70567 Stuttgart</w:t>
        <w:br/>
        <w:t>USt-IdNr. DE 287445190</w:t>
        <w:br/>
        <w:t>HRB 726451, Amtsgericht Stuttgart</w:t>
      </w:r>
    </w:p>
    <w:p>
      <w:r>
        <w:t>Empfaenger: Brennhagen Elektronik GmbH (REG), Industriestrasse 12, 74076 Heilbronn</w:t>
        <w:br/>
        <w:t>USt-IdNr. DE 215889134</w:t>
      </w:r>
    </w:p>
    <w:p>
      <w:pPr>
        <w:pStyle w:val="Heading3"/>
      </w:pPr>
      <w:r>
        <w:t>Leistungsbeschreibung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Pos.</w:t>
            </w:r>
          </w:p>
        </w:tc>
        <w:tc>
          <w:tcPr>
            <w:tcW w:type="dxa" w:w="1728"/>
          </w:tcPr>
          <w:p>
            <w:r>
              <w:t>Leistung</w:t>
            </w:r>
          </w:p>
        </w:tc>
        <w:tc>
          <w:tcPr>
            <w:tcW w:type="dxa" w:w="1728"/>
          </w:tcPr>
          <w:p>
            <w:r>
              <w:t>Menge</w:t>
            </w:r>
          </w:p>
        </w:tc>
        <w:tc>
          <w:tcPr>
            <w:tcW w:type="dxa" w:w="1728"/>
          </w:tcPr>
          <w:p>
            <w:r>
              <w:t>Einzelpreis</w:t>
            </w:r>
          </w:p>
        </w:tc>
        <w:tc>
          <w:tcPr>
            <w:tcW w:type="dxa" w:w="1728"/>
          </w:tcPr>
          <w:p>
            <w:r>
              <w:t>Summe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Pensionsadministration zentral (Anteil REG)</w:t>
            </w:r>
          </w:p>
        </w:tc>
        <w:tc>
          <w:tcPr>
            <w:tcW w:type="dxa" w:w="1728"/>
          </w:tcPr>
          <w:p>
            <w:r>
              <w:t>1 Monat</w:t>
            </w:r>
          </w:p>
        </w:tc>
        <w:tc>
          <w:tcPr>
            <w:tcW w:type="dxa" w:w="1728"/>
          </w:tcPr>
          <w:p>
            <w:r>
              <w:t>8.400,00 EUR</w:t>
            </w:r>
          </w:p>
        </w:tc>
        <w:tc>
          <w:tcPr>
            <w:tcW w:type="dxa" w:w="1728"/>
          </w:tcPr>
          <w:p>
            <w:r>
              <w:t>8.400,00 EUR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Aktuargutachten-Anteil Heubeck (Umlage 7/12)</w:t>
            </w:r>
          </w:p>
        </w:tc>
        <w:tc>
          <w:tcPr>
            <w:tcW w:type="dxa" w:w="1728"/>
          </w:tcPr>
          <w:p>
            <w:r>
              <w:t>1 Anteil</w:t>
            </w:r>
          </w:p>
        </w:tc>
        <w:tc>
          <w:tcPr>
            <w:tcW w:type="dxa" w:w="1728"/>
          </w:tcPr>
          <w:p>
            <w:r>
              <w:t>3.150,00 EUR</w:t>
            </w:r>
          </w:p>
        </w:tc>
        <w:tc>
          <w:tcPr>
            <w:tcW w:type="dxa" w:w="1728"/>
          </w:tcPr>
          <w:p>
            <w:r>
              <w:t>3.150,00 EUR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PSVaG-Beitrag (Umlage)</w:t>
            </w:r>
          </w:p>
        </w:tc>
        <w:tc>
          <w:tcPr>
            <w:tcW w:type="dxa" w:w="1728"/>
          </w:tcPr>
          <w:p>
            <w:r>
              <w:t>1 Anteil</w:t>
            </w:r>
          </w:p>
        </w:tc>
        <w:tc>
          <w:tcPr>
            <w:tcW w:type="dxa" w:w="1728"/>
          </w:tcPr>
          <w:p>
            <w:r>
              <w:t>4.270,00 EUR</w:t>
            </w:r>
          </w:p>
        </w:tc>
        <w:tc>
          <w:tcPr>
            <w:tcW w:type="dxa" w:w="1728"/>
          </w:tcPr>
          <w:p>
            <w:r>
              <w:t>4.270,00 EUR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CTA-Treuhand-Administration</w:t>
            </w:r>
          </w:p>
        </w:tc>
        <w:tc>
          <w:tcPr>
            <w:tcW w:type="dxa" w:w="1728"/>
          </w:tcPr>
          <w:p>
            <w:r>
              <w:t>1 Anteil</w:t>
            </w:r>
          </w:p>
        </w:tc>
        <w:tc>
          <w:tcPr>
            <w:tcW w:type="dxa" w:w="1728"/>
          </w:tcPr>
          <w:p>
            <w:r>
              <w:t>1.200,00 EUR</w:t>
            </w:r>
          </w:p>
        </w:tc>
        <w:tc>
          <w:tcPr>
            <w:tcW w:type="dxa" w:w="1728"/>
          </w:tcPr>
          <w:p>
            <w:r>
              <w:t>1.200,00 EUR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Zwischensumme netto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17.020,00 EUR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USt 19 %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3.233,80 EUR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Rechnungsbetrag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20.253,80 EUR</w:t>
            </w:r>
          </w:p>
        </w:tc>
      </w:tr>
    </w:tbl>
    <w:p>
      <w:pPr>
        <w:pStyle w:val="Heading3"/>
      </w:pPr>
      <w:r>
        <w:t>Verrechnungsgrundlage</w:t>
      </w:r>
    </w:p>
    <w:p>
      <w:r>
        <w:t>Konzern-Service-Vertrag (Master Services Agreement) zwischen Brennhagen Elektronik AG und Brennhagen Elektronik GmbH vom 01.01.2020. Verrechnung gemaess Anlage 2 (Pensionsservices). Kostenaufteilung nach Headcount-Schluessel (REG-Anteil 49,1 %).</w:t>
      </w:r>
    </w:p>
    <w:p>
      <w:pPr>
        <w:pStyle w:val="Heading3"/>
      </w:pPr>
      <w:r>
        <w:t>Zahlungsbedingungen</w:t>
      </w:r>
    </w:p>
    <w:p>
      <w:r>
        <w:t>Faellig: 30 Tage netto ab Rechnungseingang. Verrechnung ueber Intercompany-Verrechnungskonto IC-1810 (REA-REG). Bei Rueckfragen: Florian Maier (Group Controller) oder Hauke Schroeder (REG Accounting). Rechnungs-Nr. IC-2022-07-PEN-REG, Datum 31.07.2022.</w:t>
      </w:r>
    </w:p>
    <w:p>
      <w:pPr>
        <w:pStyle w:val="Heading3"/>
      </w:pPr>
      <w:r>
        <w:t>Transfer Pricing Hinweis</w:t>
      </w:r>
    </w:p>
    <w:p>
      <w:r>
        <w:t>Die Verrechnung erfolgt nach dem Cost-Plus-Verfahren mit einem Aufschlag von 5,0 % auf direkte Kosten, in Uebereinstimmung mit dem Konzern-Transfer-Pricing-Leitfaden 2022 (Master File / Local File, OECD Verrechnungspreisleitlinien 2022). Die Funktionsanalyse stuft die Pensionsadministration als Routinedienstleistung (Low-Value-Adding Intra-Group Service gemaess Anhang IV BEPS Action 8-10) ein.</w:t>
      </w:r>
    </w:p>
    <w:p>
      <w:r>
        <w:t>Dokumentation: TP_LocalFile_REG_2022.docx. Verantwortlich: Dr. Heike Berger (Group Tax).</w:t>
      </w:r>
    </w:p>
    <w:p>
      <w:pPr>
        <w:pStyle w:val="Heading3"/>
      </w:pPr>
      <w:r>
        <w:t>Buchungsanweisung</w:t>
      </w:r>
    </w:p>
    <w:p>
      <w:r>
        <w:t>REA-seitig: Ertrag SKR 8338 (Konzernumlage Erloese) gegen Forderung IC-Konto 1810. REG-seitig: Aufwand SKR 6815 (Konzernumlage Personalverwaltung) gegen Verbindlichkeit IC-Konto 1810. Verbuchung erfolgt vor Monatsabschluss 31.07.2022 durch beide Gesellschaften.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