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Petra Koch  |  Personal-Nr. P-1003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Petra Koch</w:t>
            </w:r>
          </w:p>
        </w:tc>
      </w:tr>
      <w:tr>
        <w:tc>
          <w:tcPr>
            <w:tcW w:type="dxa" w:w="4320"/>
          </w:tcPr>
          <w:p>
            <w:r>
              <w:t>Personalnummer</w:t>
            </w:r>
          </w:p>
        </w:tc>
        <w:tc>
          <w:tcPr>
            <w:tcW w:type="dxa" w:w="4320"/>
          </w:tcPr>
          <w:p>
            <w:r>
              <w:t>P-1003</w:t>
            </w:r>
          </w:p>
        </w:tc>
      </w:tr>
      <w:tr>
        <w:tc>
          <w:tcPr>
            <w:tcW w:type="dxa" w:w="4320"/>
          </w:tcPr>
          <w:p>
            <w:r>
              <w:t>Eintrittsdatum</w:t>
            </w:r>
          </w:p>
        </w:tc>
        <w:tc>
          <w:tcPr>
            <w:tcW w:type="dxa" w:w="4320"/>
          </w:tcPr>
          <w:p>
            <w:r>
              <w:t>01.04.2021</w:t>
            </w:r>
          </w:p>
        </w:tc>
      </w:tr>
      <w:tr>
        <w:tc>
          <w:tcPr>
            <w:tcW w:type="dxa" w:w="4320"/>
          </w:tcPr>
          <w:p>
            <w:r>
              <w:t>Anwartschaft unverfallbar seit</w:t>
            </w:r>
          </w:p>
        </w:tc>
        <w:tc>
          <w:tcPr>
            <w:tcW w:type="dxa" w:w="4320"/>
          </w:tcPr>
          <w:p>
            <w:r>
              <w:t>01.04.2024</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250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232,2</w:t>
            </w:r>
          </w:p>
        </w:tc>
      </w:tr>
      <w:tr>
        <w:tc>
          <w:tcPr>
            <w:tcW w:type="dxa" w:w="4320"/>
          </w:tcPr>
          <w:p>
            <w:r>
              <w:t>Gesamt-Anwartschaftskapital (Barwert)</w:t>
            </w:r>
          </w:p>
        </w:tc>
        <w:tc>
          <w:tcPr>
            <w:tcW w:type="dxa" w:w="4320"/>
          </w:tcPr>
          <w:p>
            <w:r>
              <w:t>86.378,4</w:t>
            </w:r>
          </w:p>
        </w:tc>
      </w:tr>
      <w:tr>
        <w:tc>
          <w:tcPr>
            <w:tcW w:type="dxa" w:w="4320"/>
          </w:tcPr>
          <w:p>
            <w:r>
              <w:t>Prognostizierte Monatsrente ab Alter 67</w:t>
            </w:r>
          </w:p>
        </w:tc>
        <w:tc>
          <w:tcPr>
            <w:tcW w:type="dxa" w:w="4320"/>
          </w:tcPr>
          <w:p>
            <w:r>
              <w:t>290,2</w:t>
            </w:r>
          </w:p>
        </w:tc>
      </w:tr>
      <w:tr>
        <w:tc>
          <w:tcPr>
            <w:tcW w:type="dxa" w:w="4320"/>
          </w:tcPr>
          <w:p>
            <w:r>
              <w:t>Alternativ: einmalige Kapitalauszahlung</w:t>
            </w:r>
          </w:p>
        </w:tc>
        <w:tc>
          <w:tcPr>
            <w:tcW w:type="dxa" w:w="4320"/>
          </w:tcPr>
          <w:p>
            <w:r>
              <w:t>89.833,5</w:t>
            </w:r>
          </w:p>
        </w:tc>
      </w:tr>
      <w:tr>
        <w:tc>
          <w:tcPr>
            <w:tcW w:type="dxa" w:w="4320"/>
          </w:tcPr>
          <w:p>
            <w:r>
              <w:t>Hinterbliebenenrente (60 % der Altersrente)</w:t>
            </w:r>
          </w:p>
        </w:tc>
        <w:tc>
          <w:tcPr>
            <w:tcW w:type="dxa" w:w="4320"/>
          </w:tcPr>
          <w:p>
            <w:r>
              <w:t>174,1</w:t>
            </w:r>
          </w:p>
        </w:tc>
      </w:tr>
      <w:tr>
        <w:tc>
          <w:tcPr>
            <w:tcW w:type="dxa" w:w="4320"/>
          </w:tcPr>
          <w:p>
            <w:r>
              <w:t>Berufsunfaehigkeitsrente (50 %)</w:t>
            </w:r>
          </w:p>
        </w:tc>
        <w:tc>
          <w:tcPr>
            <w:tcW w:type="dxa" w:w="4320"/>
          </w:tcPr>
          <w:p>
            <w:r>
              <w:t>145,1</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4567-203</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