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Julia Hartmann  |  Personal-Nr. P-1006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Julia Hartmann</w:t>
            </w:r>
          </w:p>
        </w:tc>
      </w:tr>
      <w:tr>
        <w:tc>
          <w:tcPr>
            <w:tcW w:type="dxa" w:w="4320"/>
          </w:tcPr>
          <w:p>
            <w:r>
              <w:t>Personalnummer</w:t>
            </w:r>
          </w:p>
        </w:tc>
        <w:tc>
          <w:tcPr>
            <w:tcW w:type="dxa" w:w="4320"/>
          </w:tcPr>
          <w:p>
            <w:r>
              <w:t>P-1006</w:t>
            </w:r>
          </w:p>
        </w:tc>
      </w:tr>
      <w:tr>
        <w:tc>
          <w:tcPr>
            <w:tcW w:type="dxa" w:w="4320"/>
          </w:tcPr>
          <w:p>
            <w:r>
              <w:t>Eintrittsdatum</w:t>
            </w:r>
          </w:p>
        </w:tc>
        <w:tc>
          <w:tcPr>
            <w:tcW w:type="dxa" w:w="4320"/>
          </w:tcPr>
          <w:p>
            <w:r>
              <w:t>01.04.2018</w:t>
            </w:r>
          </w:p>
        </w:tc>
      </w:tr>
      <w:tr>
        <w:tc>
          <w:tcPr>
            <w:tcW w:type="dxa" w:w="4320"/>
          </w:tcPr>
          <w:p>
            <w:r>
              <w:t>Anwartschaft unverfallbar seit</w:t>
            </w:r>
          </w:p>
        </w:tc>
        <w:tc>
          <w:tcPr>
            <w:tcW w:type="dxa" w:w="4320"/>
          </w:tcPr>
          <w:p>
            <w:r>
              <w:t>01.04.2021</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344,4</w:t>
            </w:r>
          </w:p>
        </w:tc>
      </w:tr>
      <w:tr>
        <w:tc>
          <w:tcPr>
            <w:tcW w:type="dxa" w:w="4320"/>
          </w:tcPr>
          <w:p>
            <w:r>
              <w:t>Gesamt-Anwartschaftskapital (Barwert)</w:t>
            </w:r>
          </w:p>
        </w:tc>
        <w:tc>
          <w:tcPr>
            <w:tcW w:type="dxa" w:w="4320"/>
          </w:tcPr>
          <w:p>
            <w:r>
              <w:t>140.515,2</w:t>
            </w:r>
          </w:p>
        </w:tc>
      </w:tr>
      <w:tr>
        <w:tc>
          <w:tcPr>
            <w:tcW w:type="dxa" w:w="4320"/>
          </w:tcPr>
          <w:p>
            <w:r>
              <w:t>Prognostizierte Monatsrente ab Alter 67</w:t>
            </w:r>
          </w:p>
        </w:tc>
        <w:tc>
          <w:tcPr>
            <w:tcW w:type="dxa" w:w="4320"/>
          </w:tcPr>
          <w:p>
            <w:r>
              <w:t>430,5</w:t>
            </w:r>
          </w:p>
        </w:tc>
      </w:tr>
      <w:tr>
        <w:tc>
          <w:tcPr>
            <w:tcW w:type="dxa" w:w="4320"/>
          </w:tcPr>
          <w:p>
            <w:r>
              <w:t>Alternativ: einmalige Kapitalauszahlung</w:t>
            </w:r>
          </w:p>
        </w:tc>
        <w:tc>
          <w:tcPr>
            <w:tcW w:type="dxa" w:w="4320"/>
          </w:tcPr>
          <w:p>
            <w:r>
              <w:t>146.135,8</w:t>
            </w:r>
          </w:p>
        </w:tc>
      </w:tr>
      <w:tr>
        <w:tc>
          <w:tcPr>
            <w:tcW w:type="dxa" w:w="4320"/>
          </w:tcPr>
          <w:p>
            <w:r>
              <w:t>Hinterbliebenenrente (60 % der Altersrente)</w:t>
            </w:r>
          </w:p>
        </w:tc>
        <w:tc>
          <w:tcPr>
            <w:tcW w:type="dxa" w:w="4320"/>
          </w:tcPr>
          <w:p>
            <w:r>
              <w:t>258,3</w:t>
            </w:r>
          </w:p>
        </w:tc>
      </w:tr>
      <w:tr>
        <w:tc>
          <w:tcPr>
            <w:tcW w:type="dxa" w:w="4320"/>
          </w:tcPr>
          <w:p>
            <w:r>
              <w:t>Berufsunfaehigkeitsrente (50 %)</w:t>
            </w:r>
          </w:p>
        </w:tc>
        <w:tc>
          <w:tcPr>
            <w:tcW w:type="dxa" w:w="4320"/>
          </w:tcPr>
          <w:p>
            <w:r>
              <w:t>215,2</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4567-206</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