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Sandra Weber  |  Personal-Nr. P-1007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Sandra Weber</w:t>
            </w:r>
          </w:p>
        </w:tc>
      </w:tr>
      <w:tr>
        <w:tc>
          <w:tcPr>
            <w:tcW w:type="dxa" w:w="4320"/>
          </w:tcPr>
          <w:p>
            <w:r>
              <w:t>Personalnummer</w:t>
            </w:r>
          </w:p>
        </w:tc>
        <w:tc>
          <w:tcPr>
            <w:tcW w:type="dxa" w:w="4320"/>
          </w:tcPr>
          <w:p>
            <w:r>
              <w:t>P-1007</w:t>
            </w:r>
          </w:p>
        </w:tc>
      </w:tr>
      <w:tr>
        <w:tc>
          <w:tcPr>
            <w:tcW w:type="dxa" w:w="4320"/>
          </w:tcPr>
          <w:p>
            <w:r>
              <w:t>Eintrittsdatum</w:t>
            </w:r>
          </w:p>
        </w:tc>
        <w:tc>
          <w:tcPr>
            <w:tcW w:type="dxa" w:w="4320"/>
          </w:tcPr>
          <w:p>
            <w:r>
              <w:t>01.04.2001</w:t>
            </w:r>
          </w:p>
        </w:tc>
      </w:tr>
      <w:tr>
        <w:tc>
          <w:tcPr>
            <w:tcW w:type="dxa" w:w="4320"/>
          </w:tcPr>
          <w:p>
            <w:r>
              <w:t>Anwartschaft unverfallbar seit</w:t>
            </w:r>
          </w:p>
        </w:tc>
        <w:tc>
          <w:tcPr>
            <w:tcW w:type="dxa" w:w="4320"/>
          </w:tcPr>
          <w:p>
            <w:r>
              <w:t>01.04.2004</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381,8</w:t>
            </w:r>
          </w:p>
        </w:tc>
      </w:tr>
      <w:tr>
        <w:tc>
          <w:tcPr>
            <w:tcW w:type="dxa" w:w="4320"/>
          </w:tcPr>
          <w:p>
            <w:r>
              <w:t>Gesamt-Anwartschaftskapital (Barwert)</w:t>
            </w:r>
          </w:p>
        </w:tc>
        <w:tc>
          <w:tcPr>
            <w:tcW w:type="dxa" w:w="4320"/>
          </w:tcPr>
          <w:p>
            <w:r>
              <w:t>160.356,0</w:t>
            </w:r>
          </w:p>
        </w:tc>
      </w:tr>
      <w:tr>
        <w:tc>
          <w:tcPr>
            <w:tcW w:type="dxa" w:w="4320"/>
          </w:tcPr>
          <w:p>
            <w:r>
              <w:t>Prognostizierte Monatsrente ab Alter 67</w:t>
            </w:r>
          </w:p>
        </w:tc>
        <w:tc>
          <w:tcPr>
            <w:tcW w:type="dxa" w:w="4320"/>
          </w:tcPr>
          <w:p>
            <w:r>
              <w:t>477,2</w:t>
            </w:r>
          </w:p>
        </w:tc>
      </w:tr>
      <w:tr>
        <w:tc>
          <w:tcPr>
            <w:tcW w:type="dxa" w:w="4320"/>
          </w:tcPr>
          <w:p>
            <w:r>
              <w:t>Alternativ: einmalige Kapitalauszahlung</w:t>
            </w:r>
          </w:p>
        </w:tc>
        <w:tc>
          <w:tcPr>
            <w:tcW w:type="dxa" w:w="4320"/>
          </w:tcPr>
          <w:p>
            <w:r>
              <w:t>166.770,2</w:t>
            </w:r>
          </w:p>
        </w:tc>
      </w:tr>
      <w:tr>
        <w:tc>
          <w:tcPr>
            <w:tcW w:type="dxa" w:w="4320"/>
          </w:tcPr>
          <w:p>
            <w:r>
              <w:t>Hinterbliebenenrente (60 % der Altersrente)</w:t>
            </w:r>
          </w:p>
        </w:tc>
        <w:tc>
          <w:tcPr>
            <w:tcW w:type="dxa" w:w="4320"/>
          </w:tcPr>
          <w:p>
            <w:r>
              <w:t>286,4</w:t>
            </w:r>
          </w:p>
        </w:tc>
      </w:tr>
      <w:tr>
        <w:tc>
          <w:tcPr>
            <w:tcW w:type="dxa" w:w="4320"/>
          </w:tcPr>
          <w:p>
            <w:r>
              <w:t>Berufsunfaehigkeitsrente (50 %)</w:t>
            </w:r>
          </w:p>
        </w:tc>
        <w:tc>
          <w:tcPr>
            <w:tcW w:type="dxa" w:w="4320"/>
          </w:tcPr>
          <w:p>
            <w:r>
              <w:t>238,6</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4567-207</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