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Karin Schulz  |  Personal-Nr. P-1009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Karin Schulz</w:t>
            </w:r>
          </w:p>
        </w:tc>
      </w:tr>
      <w:tr>
        <w:tc>
          <w:tcPr>
            <w:tcW w:type="dxa" w:w="4320"/>
          </w:tcPr>
          <w:p>
            <w:r>
              <w:t>Personalnummer</w:t>
            </w:r>
          </w:p>
        </w:tc>
        <w:tc>
          <w:tcPr>
            <w:tcW w:type="dxa" w:w="4320"/>
          </w:tcPr>
          <w:p>
            <w:r>
              <w:t>P-1009</w:t>
            </w:r>
          </w:p>
        </w:tc>
      </w:tr>
      <w:tr>
        <w:tc>
          <w:tcPr>
            <w:tcW w:type="dxa" w:w="4320"/>
          </w:tcPr>
          <w:p>
            <w:r>
              <w:t>Eintrittsdatum</w:t>
            </w:r>
          </w:p>
        </w:tc>
        <w:tc>
          <w:tcPr>
            <w:tcW w:type="dxa" w:w="4320"/>
          </w:tcPr>
          <w:p>
            <w:r>
              <w:t>01.04.2015</w:t>
            </w:r>
          </w:p>
        </w:tc>
      </w:tr>
      <w:tr>
        <w:tc>
          <w:tcPr>
            <w:tcW w:type="dxa" w:w="4320"/>
          </w:tcPr>
          <w:p>
            <w:r>
              <w:t>Anwartschaft unverfallbar seit</w:t>
            </w:r>
          </w:p>
        </w:tc>
        <w:tc>
          <w:tcPr>
            <w:tcW w:type="dxa" w:w="4320"/>
          </w:tcPr>
          <w:p>
            <w:r>
              <w:t>01.04.2018</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150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456,6</w:t>
            </w:r>
          </w:p>
        </w:tc>
      </w:tr>
      <w:tr>
        <w:tc>
          <w:tcPr>
            <w:tcW w:type="dxa" w:w="4320"/>
          </w:tcPr>
          <w:p>
            <w:r>
              <w:t>Gesamt-Anwartschaftskapital (Barwert)</w:t>
            </w:r>
          </w:p>
        </w:tc>
        <w:tc>
          <w:tcPr>
            <w:tcW w:type="dxa" w:w="4320"/>
          </w:tcPr>
          <w:p>
            <w:r>
              <w:t>202.730,4</w:t>
            </w:r>
          </w:p>
        </w:tc>
      </w:tr>
      <w:tr>
        <w:tc>
          <w:tcPr>
            <w:tcW w:type="dxa" w:w="4320"/>
          </w:tcPr>
          <w:p>
            <w:r>
              <w:t>Prognostizierte Monatsrente ab Alter 67</w:t>
            </w:r>
          </w:p>
        </w:tc>
        <w:tc>
          <w:tcPr>
            <w:tcW w:type="dxa" w:w="4320"/>
          </w:tcPr>
          <w:p>
            <w:r>
              <w:t>570,8</w:t>
            </w:r>
          </w:p>
        </w:tc>
      </w:tr>
      <w:tr>
        <w:tc>
          <w:tcPr>
            <w:tcW w:type="dxa" w:w="4320"/>
          </w:tcPr>
          <w:p>
            <w:r>
              <w:t>Alternativ: einmalige Kapitalauszahlung</w:t>
            </w:r>
          </w:p>
        </w:tc>
        <w:tc>
          <w:tcPr>
            <w:tcW w:type="dxa" w:w="4320"/>
          </w:tcPr>
          <w:p>
            <w:r>
              <w:t>210.839,6</w:t>
            </w:r>
          </w:p>
        </w:tc>
      </w:tr>
      <w:tr>
        <w:tc>
          <w:tcPr>
            <w:tcW w:type="dxa" w:w="4320"/>
          </w:tcPr>
          <w:p>
            <w:r>
              <w:t>Hinterbliebenenrente (60 % der Altersrente)</w:t>
            </w:r>
          </w:p>
        </w:tc>
        <w:tc>
          <w:tcPr>
            <w:tcW w:type="dxa" w:w="4320"/>
          </w:tcPr>
          <w:p>
            <w:r>
              <w:t>342,5</w:t>
            </w:r>
          </w:p>
        </w:tc>
      </w:tr>
      <w:tr>
        <w:tc>
          <w:tcPr>
            <w:tcW w:type="dxa" w:w="4320"/>
          </w:tcPr>
          <w:p>
            <w:r>
              <w:t>Berufsunfaehigkeitsrente (50 %)</w:t>
            </w:r>
          </w:p>
        </w:tc>
        <w:tc>
          <w:tcPr>
            <w:tcW w:type="dxa" w:w="4320"/>
          </w:tcPr>
          <w:p>
            <w:r>
              <w:t>285,4</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4567-209</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