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Ursula Krause  |  Personal-Nr. P-1014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Ursula Krause</w:t>
            </w:r>
          </w:p>
        </w:tc>
      </w:tr>
      <w:tr>
        <w:tc>
          <w:tcPr>
            <w:tcW w:type="dxa" w:w="4320"/>
          </w:tcPr>
          <w:p>
            <w:r>
              <w:t>Personalnummer</w:t>
            </w:r>
          </w:p>
        </w:tc>
        <w:tc>
          <w:tcPr>
            <w:tcW w:type="dxa" w:w="4320"/>
          </w:tcPr>
          <w:p>
            <w:r>
              <w:t>P-1014</w:t>
            </w:r>
          </w:p>
        </w:tc>
      </w:tr>
      <w:tr>
        <w:tc>
          <w:tcPr>
            <w:tcW w:type="dxa" w:w="4320"/>
          </w:tcPr>
          <w:p>
            <w:r>
              <w:t>Eintrittsdatum</w:t>
            </w:r>
          </w:p>
        </w:tc>
        <w:tc>
          <w:tcPr>
            <w:tcW w:type="dxa" w:w="4320"/>
          </w:tcPr>
          <w:p>
            <w:r>
              <w:t>01.04.2002</w:t>
            </w:r>
          </w:p>
        </w:tc>
      </w:tr>
      <w:tr>
        <w:tc>
          <w:tcPr>
            <w:tcW w:type="dxa" w:w="4320"/>
          </w:tcPr>
          <w:p>
            <w:r>
              <w:t>Anwartschaft unverfallbar seit</w:t>
            </w:r>
          </w:p>
        </w:tc>
        <w:tc>
          <w:tcPr>
            <w:tcW w:type="dxa" w:w="4320"/>
          </w:tcPr>
          <w:p>
            <w:r>
              <w:t>01.04.2005</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643,6</w:t>
            </w:r>
          </w:p>
        </w:tc>
      </w:tr>
      <w:tr>
        <w:tc>
          <w:tcPr>
            <w:tcW w:type="dxa" w:w="4320"/>
          </w:tcPr>
          <w:p>
            <w:r>
              <w:t>Gesamt-Anwartschaftskapital (Barwert)</w:t>
            </w:r>
          </w:p>
        </w:tc>
        <w:tc>
          <w:tcPr>
            <w:tcW w:type="dxa" w:w="4320"/>
          </w:tcPr>
          <w:p>
            <w:r>
              <w:t>231.696,0</w:t>
            </w:r>
          </w:p>
        </w:tc>
      </w:tr>
      <w:tr>
        <w:tc>
          <w:tcPr>
            <w:tcW w:type="dxa" w:w="4320"/>
          </w:tcPr>
          <w:p>
            <w:r>
              <w:t>Prognostizierte Monatsrente ab Alter 67</w:t>
            </w:r>
          </w:p>
        </w:tc>
        <w:tc>
          <w:tcPr>
            <w:tcW w:type="dxa" w:w="4320"/>
          </w:tcPr>
          <w:p>
            <w:r>
              <w:t>804,5</w:t>
            </w:r>
          </w:p>
        </w:tc>
      </w:tr>
      <w:tr>
        <w:tc>
          <w:tcPr>
            <w:tcW w:type="dxa" w:w="4320"/>
          </w:tcPr>
          <w:p>
            <w:r>
              <w:t>Alternativ: einmalige Kapitalauszahlung</w:t>
            </w:r>
          </w:p>
        </w:tc>
        <w:tc>
          <w:tcPr>
            <w:tcW w:type="dxa" w:w="4320"/>
          </w:tcPr>
          <w:p>
            <w:r>
              <w:t>240.963,8</w:t>
            </w:r>
          </w:p>
        </w:tc>
      </w:tr>
      <w:tr>
        <w:tc>
          <w:tcPr>
            <w:tcW w:type="dxa" w:w="4320"/>
          </w:tcPr>
          <w:p>
            <w:r>
              <w:t>Hinterbliebenenrente (60 % der Altersrente)</w:t>
            </w:r>
          </w:p>
        </w:tc>
        <w:tc>
          <w:tcPr>
            <w:tcW w:type="dxa" w:w="4320"/>
          </w:tcPr>
          <w:p>
            <w:r>
              <w:t>482,7</w:t>
            </w:r>
          </w:p>
        </w:tc>
      </w:tr>
      <w:tr>
        <w:tc>
          <w:tcPr>
            <w:tcW w:type="dxa" w:w="4320"/>
          </w:tcPr>
          <w:p>
            <w:r>
              <w:t>Berufsunfaehigkeitsrente (50 %)</w:t>
            </w:r>
          </w:p>
        </w:tc>
        <w:tc>
          <w:tcPr>
            <w:tcW w:type="dxa" w:w="4320"/>
          </w:tcPr>
          <w:p>
            <w:r>
              <w:t>402,2</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4567-214</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