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Heike Richter  |  Personal-Nr. P-1016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Heike Richter</w:t>
            </w:r>
          </w:p>
        </w:tc>
      </w:tr>
      <w:tr>
        <w:tc>
          <w:tcPr>
            <w:tcW w:type="dxa" w:w="4320"/>
          </w:tcPr>
          <w:p>
            <w:r>
              <w:t>Personalnummer</w:t>
            </w:r>
          </w:p>
        </w:tc>
        <w:tc>
          <w:tcPr>
            <w:tcW w:type="dxa" w:w="4320"/>
          </w:tcPr>
          <w:p>
            <w:r>
              <w:t>P-1016</w:t>
            </w:r>
          </w:p>
        </w:tc>
      </w:tr>
      <w:tr>
        <w:tc>
          <w:tcPr>
            <w:tcW w:type="dxa" w:w="4320"/>
          </w:tcPr>
          <w:p>
            <w:r>
              <w:t>Eintrittsdatum</w:t>
            </w:r>
          </w:p>
        </w:tc>
        <w:tc>
          <w:tcPr>
            <w:tcW w:type="dxa" w:w="4320"/>
          </w:tcPr>
          <w:p>
            <w:r>
              <w:t>01.04.2016</w:t>
            </w:r>
          </w:p>
        </w:tc>
      </w:tr>
      <w:tr>
        <w:tc>
          <w:tcPr>
            <w:tcW w:type="dxa" w:w="4320"/>
          </w:tcPr>
          <w:p>
            <w:r>
              <w:t>Anwartschaft unverfallbar seit</w:t>
            </w:r>
          </w:p>
        </w:tc>
        <w:tc>
          <w:tcPr>
            <w:tcW w:type="dxa" w:w="4320"/>
          </w:tcPr>
          <w:p>
            <w:r>
              <w:t>01.04.2019</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100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718,4</w:t>
            </w:r>
          </w:p>
        </w:tc>
      </w:tr>
      <w:tr>
        <w:tc>
          <w:tcPr>
            <w:tcW w:type="dxa" w:w="4320"/>
          </w:tcPr>
          <w:p>
            <w:r>
              <w:t>Gesamt-Anwartschaftskapital (Barwert)</w:t>
            </w:r>
          </w:p>
        </w:tc>
        <w:tc>
          <w:tcPr>
            <w:tcW w:type="dxa" w:w="4320"/>
          </w:tcPr>
          <w:p>
            <w:r>
              <w:t>275.865,6</w:t>
            </w:r>
          </w:p>
        </w:tc>
      </w:tr>
      <w:tr>
        <w:tc>
          <w:tcPr>
            <w:tcW w:type="dxa" w:w="4320"/>
          </w:tcPr>
          <w:p>
            <w:r>
              <w:t>Prognostizierte Monatsrente ab Alter 67</w:t>
            </w:r>
          </w:p>
        </w:tc>
        <w:tc>
          <w:tcPr>
            <w:tcW w:type="dxa" w:w="4320"/>
          </w:tcPr>
          <w:p>
            <w:r>
              <w:t>898,0</w:t>
            </w:r>
          </w:p>
        </w:tc>
      </w:tr>
      <w:tr>
        <w:tc>
          <w:tcPr>
            <w:tcW w:type="dxa" w:w="4320"/>
          </w:tcPr>
          <w:p>
            <w:r>
              <w:t>Alternativ: einmalige Kapitalauszahlung</w:t>
            </w:r>
          </w:p>
        </w:tc>
        <w:tc>
          <w:tcPr>
            <w:tcW w:type="dxa" w:w="4320"/>
          </w:tcPr>
          <w:p>
            <w:r>
              <w:t>286.900,2</w:t>
            </w:r>
          </w:p>
        </w:tc>
      </w:tr>
      <w:tr>
        <w:tc>
          <w:tcPr>
            <w:tcW w:type="dxa" w:w="4320"/>
          </w:tcPr>
          <w:p>
            <w:r>
              <w:t>Hinterbliebenenrente (60 % der Altersrente)</w:t>
            </w:r>
          </w:p>
        </w:tc>
        <w:tc>
          <w:tcPr>
            <w:tcW w:type="dxa" w:w="4320"/>
          </w:tcPr>
          <w:p>
            <w:r>
              <w:t>538,8</w:t>
            </w:r>
          </w:p>
        </w:tc>
      </w:tr>
      <w:tr>
        <w:tc>
          <w:tcPr>
            <w:tcW w:type="dxa" w:w="4320"/>
          </w:tcPr>
          <w:p>
            <w:r>
              <w:t>Berufsunfaehigkeitsrente (50 %)</w:t>
            </w:r>
          </w:p>
        </w:tc>
        <w:tc>
          <w:tcPr>
            <w:tcW w:type="dxa" w:w="4320"/>
          </w:tcPr>
          <w:p>
            <w:r>
              <w:t>449,0</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4567-216</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