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Ute Kraemer  |  Personal-Nr. P-1017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Ute Kraemer</w:t>
            </w:r>
          </w:p>
        </w:tc>
      </w:tr>
      <w:tr>
        <w:tc>
          <w:tcPr>
            <w:tcW w:type="dxa" w:w="4320"/>
          </w:tcPr>
          <w:p>
            <w:r>
              <w:t>Personalnummer</w:t>
            </w:r>
          </w:p>
        </w:tc>
        <w:tc>
          <w:tcPr>
            <w:tcW w:type="dxa" w:w="4320"/>
          </w:tcPr>
          <w:p>
            <w:r>
              <w:t>P-1017</w:t>
            </w:r>
          </w:p>
        </w:tc>
      </w:tr>
      <w:tr>
        <w:tc>
          <w:tcPr>
            <w:tcW w:type="dxa" w:w="4320"/>
          </w:tcPr>
          <w:p>
            <w:r>
              <w:t>Eintrittsdatum</w:t>
            </w:r>
          </w:p>
        </w:tc>
        <w:tc>
          <w:tcPr>
            <w:tcW w:type="dxa" w:w="4320"/>
          </w:tcPr>
          <w:p>
            <w:r>
              <w:t>01.04.2023</w:t>
            </w:r>
          </w:p>
        </w:tc>
      </w:tr>
      <w:tr>
        <w:tc>
          <w:tcPr>
            <w:tcW w:type="dxa" w:w="4320"/>
          </w:tcPr>
          <w:p>
            <w:r>
              <w:t>Anwartschaft unverfallbar seit</w:t>
            </w:r>
          </w:p>
        </w:tc>
        <w:tc>
          <w:tcPr>
            <w:tcW w:type="dxa" w:w="4320"/>
          </w:tcPr>
          <w:p>
            <w:r>
              <w:t>01.04.2026</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150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755,8</w:t>
            </w:r>
          </w:p>
        </w:tc>
      </w:tr>
      <w:tr>
        <w:tc>
          <w:tcPr>
            <w:tcW w:type="dxa" w:w="4320"/>
          </w:tcPr>
          <w:p>
            <w:r>
              <w:t>Gesamt-Anwartschaftskapital (Barwert)</w:t>
            </w:r>
          </w:p>
        </w:tc>
        <w:tc>
          <w:tcPr>
            <w:tcW w:type="dxa" w:w="4320"/>
          </w:tcPr>
          <w:p>
            <w:r>
              <w:t>299.296,8</w:t>
            </w:r>
          </w:p>
        </w:tc>
      </w:tr>
      <w:tr>
        <w:tc>
          <w:tcPr>
            <w:tcW w:type="dxa" w:w="4320"/>
          </w:tcPr>
          <w:p>
            <w:r>
              <w:t>Prognostizierte Monatsrente ab Alter 67</w:t>
            </w:r>
          </w:p>
        </w:tc>
        <w:tc>
          <w:tcPr>
            <w:tcW w:type="dxa" w:w="4320"/>
          </w:tcPr>
          <w:p>
            <w:r>
              <w:t>944,8</w:t>
            </w:r>
          </w:p>
        </w:tc>
      </w:tr>
      <w:tr>
        <w:tc>
          <w:tcPr>
            <w:tcW w:type="dxa" w:w="4320"/>
          </w:tcPr>
          <w:p>
            <w:r>
              <w:t>Alternativ: einmalige Kapitalauszahlung</w:t>
            </w:r>
          </w:p>
        </w:tc>
        <w:tc>
          <w:tcPr>
            <w:tcW w:type="dxa" w:w="4320"/>
          </w:tcPr>
          <w:p>
            <w:r>
              <w:t>311.268,7</w:t>
            </w:r>
          </w:p>
        </w:tc>
      </w:tr>
      <w:tr>
        <w:tc>
          <w:tcPr>
            <w:tcW w:type="dxa" w:w="4320"/>
          </w:tcPr>
          <w:p>
            <w:r>
              <w:t>Hinterbliebenenrente (60 % der Altersrente)</w:t>
            </w:r>
          </w:p>
        </w:tc>
        <w:tc>
          <w:tcPr>
            <w:tcW w:type="dxa" w:w="4320"/>
          </w:tcPr>
          <w:p>
            <w:r>
              <w:t>566,8</w:t>
            </w:r>
          </w:p>
        </w:tc>
      </w:tr>
      <w:tr>
        <w:tc>
          <w:tcPr>
            <w:tcW w:type="dxa" w:w="4320"/>
          </w:tcPr>
          <w:p>
            <w:r>
              <w:t>Berufsunfaehigkeitsrente (50 %)</w:t>
            </w:r>
          </w:p>
        </w:tc>
        <w:tc>
          <w:tcPr>
            <w:tcW w:type="dxa" w:w="4320"/>
          </w:tcPr>
          <w:p>
            <w:r>
              <w:t>472,4</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4567-217</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