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Gisela Roth  |  Personal-Nr. P-1018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Gisela Roth</w:t>
            </w:r>
          </w:p>
        </w:tc>
      </w:tr>
      <w:tr>
        <w:tc>
          <w:tcPr>
            <w:tcW w:type="dxa" w:w="4320"/>
          </w:tcPr>
          <w:p>
            <w:r>
              <w:t>Personalnummer</w:t>
            </w:r>
          </w:p>
        </w:tc>
        <w:tc>
          <w:tcPr>
            <w:tcW w:type="dxa" w:w="4320"/>
          </w:tcPr>
          <w:p>
            <w:r>
              <w:t>P-1018</w:t>
            </w:r>
          </w:p>
        </w:tc>
      </w:tr>
      <w:tr>
        <w:tc>
          <w:tcPr>
            <w:tcW w:type="dxa" w:w="4320"/>
          </w:tcPr>
          <w:p>
            <w:r>
              <w:t>Eintrittsdatum</w:t>
            </w:r>
          </w:p>
        </w:tc>
        <w:tc>
          <w:tcPr>
            <w:tcW w:type="dxa" w:w="4320"/>
          </w:tcPr>
          <w:p>
            <w:r>
              <w:t>01.04.2006</w:t>
            </w:r>
          </w:p>
        </w:tc>
      </w:tr>
      <w:tr>
        <w:tc>
          <w:tcPr>
            <w:tcW w:type="dxa" w:w="4320"/>
          </w:tcPr>
          <w:p>
            <w:r>
              <w:t>Anwartschaft unverfallbar seit</w:t>
            </w:r>
          </w:p>
        </w:tc>
        <w:tc>
          <w:tcPr>
            <w:tcW w:type="dxa" w:w="4320"/>
          </w:tcPr>
          <w:p>
            <w:r>
              <w:t>01.04.2009</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793,2</w:t>
            </w:r>
          </w:p>
        </w:tc>
      </w:tr>
      <w:tr>
        <w:tc>
          <w:tcPr>
            <w:tcW w:type="dxa" w:w="4320"/>
          </w:tcPr>
          <w:p>
            <w:r>
              <w:t>Gesamt-Anwartschaftskapital (Barwert)</w:t>
            </w:r>
          </w:p>
        </w:tc>
        <w:tc>
          <w:tcPr>
            <w:tcW w:type="dxa" w:w="4320"/>
          </w:tcPr>
          <w:p>
            <w:r>
              <w:t>323.625,6</w:t>
            </w:r>
          </w:p>
        </w:tc>
      </w:tr>
      <w:tr>
        <w:tc>
          <w:tcPr>
            <w:tcW w:type="dxa" w:w="4320"/>
          </w:tcPr>
          <w:p>
            <w:r>
              <w:t>Prognostizierte Monatsrente ab Alter 67</w:t>
            </w:r>
          </w:p>
        </w:tc>
        <w:tc>
          <w:tcPr>
            <w:tcW w:type="dxa" w:w="4320"/>
          </w:tcPr>
          <w:p>
            <w:r>
              <w:t>991,5</w:t>
            </w:r>
          </w:p>
        </w:tc>
      </w:tr>
      <w:tr>
        <w:tc>
          <w:tcPr>
            <w:tcW w:type="dxa" w:w="4320"/>
          </w:tcPr>
          <w:p>
            <w:r>
              <w:t>Alternativ: einmalige Kapitalauszahlung</w:t>
            </w:r>
          </w:p>
        </w:tc>
        <w:tc>
          <w:tcPr>
            <w:tcW w:type="dxa" w:w="4320"/>
          </w:tcPr>
          <w:p>
            <w:r>
              <w:t>336.570,6</w:t>
            </w:r>
          </w:p>
        </w:tc>
      </w:tr>
      <w:tr>
        <w:tc>
          <w:tcPr>
            <w:tcW w:type="dxa" w:w="4320"/>
          </w:tcPr>
          <w:p>
            <w:r>
              <w:t>Hinterbliebenenrente (60 % der Altersrente)</w:t>
            </w:r>
          </w:p>
        </w:tc>
        <w:tc>
          <w:tcPr>
            <w:tcW w:type="dxa" w:w="4320"/>
          </w:tcPr>
          <w:p>
            <w:r>
              <w:t>594,9</w:t>
            </w:r>
          </w:p>
        </w:tc>
      </w:tr>
      <w:tr>
        <w:tc>
          <w:tcPr>
            <w:tcW w:type="dxa" w:w="4320"/>
          </w:tcPr>
          <w:p>
            <w:r>
              <w:t>Berufsunfaehigkeitsrente (50 %)</w:t>
            </w:r>
          </w:p>
        </w:tc>
        <w:tc>
          <w:tcPr>
            <w:tcW w:type="dxa" w:w="4320"/>
          </w:tcPr>
          <w:p>
            <w:r>
              <w:t>495,8</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4567-218</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