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Klaus Weber  |  Personal-Nr. P-1020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Klaus Weber</w:t>
            </w:r>
          </w:p>
        </w:tc>
      </w:tr>
      <w:tr>
        <w:tc>
          <w:tcPr>
            <w:tcW w:type="dxa" w:w="4320"/>
          </w:tcPr>
          <w:p>
            <w:r>
              <w:t>Personalnummer</w:t>
            </w:r>
          </w:p>
        </w:tc>
        <w:tc>
          <w:tcPr>
            <w:tcW w:type="dxa" w:w="4320"/>
          </w:tcPr>
          <w:p>
            <w:r>
              <w:t>P-1020</w:t>
            </w:r>
          </w:p>
        </w:tc>
      </w:tr>
      <w:tr>
        <w:tc>
          <w:tcPr>
            <w:tcW w:type="dxa" w:w="4320"/>
          </w:tcPr>
          <w:p>
            <w:r>
              <w:t>Eintrittsdatum</w:t>
            </w:r>
          </w:p>
        </w:tc>
        <w:tc>
          <w:tcPr>
            <w:tcW w:type="dxa" w:w="4320"/>
          </w:tcPr>
          <w:p>
            <w:r>
              <w:t>01.04.2020</w:t>
            </w:r>
          </w:p>
        </w:tc>
      </w:tr>
      <w:tr>
        <w:tc>
          <w:tcPr>
            <w:tcW w:type="dxa" w:w="4320"/>
          </w:tcPr>
          <w:p>
            <w:r>
              <w:t>Anwartschaft unverfallbar seit</w:t>
            </w:r>
          </w:p>
        </w:tc>
        <w:tc>
          <w:tcPr>
            <w:tcW w:type="dxa" w:w="4320"/>
          </w:tcPr>
          <w:p>
            <w:r>
              <w:t>01.04.2023</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868,0</w:t>
            </w:r>
          </w:p>
        </w:tc>
      </w:tr>
      <w:tr>
        <w:tc>
          <w:tcPr>
            <w:tcW w:type="dxa" w:w="4320"/>
          </w:tcPr>
          <w:p>
            <w:r>
              <w:t>Gesamt-Anwartschaftskapital (Barwert)</w:t>
            </w:r>
          </w:p>
        </w:tc>
        <w:tc>
          <w:tcPr>
            <w:tcW w:type="dxa" w:w="4320"/>
          </w:tcPr>
          <w:p>
            <w:r>
              <w:t>374.976,0</w:t>
            </w:r>
          </w:p>
        </w:tc>
      </w:tr>
      <w:tr>
        <w:tc>
          <w:tcPr>
            <w:tcW w:type="dxa" w:w="4320"/>
          </w:tcPr>
          <w:p>
            <w:r>
              <w:t>Prognostizierte Monatsrente ab Alter 67</w:t>
            </w:r>
          </w:p>
        </w:tc>
        <w:tc>
          <w:tcPr>
            <w:tcW w:type="dxa" w:w="4320"/>
          </w:tcPr>
          <w:p>
            <w:r>
              <w:t>1.085,0</w:t>
            </w:r>
          </w:p>
        </w:tc>
      </w:tr>
      <w:tr>
        <w:tc>
          <w:tcPr>
            <w:tcW w:type="dxa" w:w="4320"/>
          </w:tcPr>
          <w:p>
            <w:r>
              <w:t>Alternativ: einmalige Kapitalauszahlung</w:t>
            </w:r>
          </w:p>
        </w:tc>
        <w:tc>
          <w:tcPr>
            <w:tcW w:type="dxa" w:w="4320"/>
          </w:tcPr>
          <w:p>
            <w:r>
              <w:t>389.975,0</w:t>
            </w:r>
          </w:p>
        </w:tc>
      </w:tr>
      <w:tr>
        <w:tc>
          <w:tcPr>
            <w:tcW w:type="dxa" w:w="4320"/>
          </w:tcPr>
          <w:p>
            <w:r>
              <w:t>Hinterbliebenenrente (60 % der Altersrente)</w:t>
            </w:r>
          </w:p>
        </w:tc>
        <w:tc>
          <w:tcPr>
            <w:tcW w:type="dxa" w:w="4320"/>
          </w:tcPr>
          <w:p>
            <w:r>
              <w:t>651,0</w:t>
            </w:r>
          </w:p>
        </w:tc>
      </w:tr>
      <w:tr>
        <w:tc>
          <w:tcPr>
            <w:tcW w:type="dxa" w:w="4320"/>
          </w:tcPr>
          <w:p>
            <w:r>
              <w:t>Berufsunfaehigkeitsrente (50 %)</w:t>
            </w:r>
          </w:p>
        </w:tc>
        <w:tc>
          <w:tcPr>
            <w:tcW w:type="dxa" w:w="4320"/>
          </w:tcPr>
          <w:p>
            <w:r>
              <w:t>542,5</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4567-220</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