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Michael Richter  |  Personal-Nr. P-1022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Michael Richter</w:t>
            </w:r>
          </w:p>
        </w:tc>
      </w:tr>
      <w:tr>
        <w:tc>
          <w:tcPr>
            <w:tcW w:type="dxa" w:w="4320"/>
          </w:tcPr>
          <w:p>
            <w:r>
              <w:t>Personalnummer</w:t>
            </w:r>
          </w:p>
        </w:tc>
        <w:tc>
          <w:tcPr>
            <w:tcW w:type="dxa" w:w="4320"/>
          </w:tcPr>
          <w:p>
            <w:r>
              <w:t>P-1022</w:t>
            </w:r>
          </w:p>
        </w:tc>
      </w:tr>
      <w:tr>
        <w:tc>
          <w:tcPr>
            <w:tcW w:type="dxa" w:w="4320"/>
          </w:tcPr>
          <w:p>
            <w:r>
              <w:t>Eintrittsdatum</w:t>
            </w:r>
          </w:p>
        </w:tc>
        <w:tc>
          <w:tcPr>
            <w:tcW w:type="dxa" w:w="4320"/>
          </w:tcPr>
          <w:p>
            <w:r>
              <w:t>01.04.2010</w:t>
            </w:r>
          </w:p>
        </w:tc>
      </w:tr>
      <w:tr>
        <w:tc>
          <w:tcPr>
            <w:tcW w:type="dxa" w:w="4320"/>
          </w:tcPr>
          <w:p>
            <w:r>
              <w:t>Anwartschaft unverfallbar seit</w:t>
            </w:r>
          </w:p>
        </w:tc>
        <w:tc>
          <w:tcPr>
            <w:tcW w:type="dxa" w:w="4320"/>
          </w:tcPr>
          <w:p>
            <w:r>
              <w:t>01.04.2013</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942,8</w:t>
            </w:r>
          </w:p>
        </w:tc>
      </w:tr>
      <w:tr>
        <w:tc>
          <w:tcPr>
            <w:tcW w:type="dxa" w:w="4320"/>
          </w:tcPr>
          <w:p>
            <w:r>
              <w:t>Gesamt-Anwartschaftskapital (Barwert)</w:t>
            </w:r>
          </w:p>
        </w:tc>
        <w:tc>
          <w:tcPr>
            <w:tcW w:type="dxa" w:w="4320"/>
          </w:tcPr>
          <w:p>
            <w:r>
              <w:t>429.916,8</w:t>
            </w:r>
          </w:p>
        </w:tc>
      </w:tr>
      <w:tr>
        <w:tc>
          <w:tcPr>
            <w:tcW w:type="dxa" w:w="4320"/>
          </w:tcPr>
          <w:p>
            <w:r>
              <w:t>Prognostizierte Monatsrente ab Alter 67</w:t>
            </w:r>
          </w:p>
        </w:tc>
        <w:tc>
          <w:tcPr>
            <w:tcW w:type="dxa" w:w="4320"/>
          </w:tcPr>
          <w:p>
            <w:r>
              <w:t>1.178,5</w:t>
            </w:r>
          </w:p>
        </w:tc>
      </w:tr>
      <w:tr>
        <w:tc>
          <w:tcPr>
            <w:tcW w:type="dxa" w:w="4320"/>
          </w:tcPr>
          <w:p>
            <w:r>
              <w:t>Alternativ: einmalige Kapitalauszahlung</w:t>
            </w:r>
          </w:p>
        </w:tc>
        <w:tc>
          <w:tcPr>
            <w:tcW w:type="dxa" w:w="4320"/>
          </w:tcPr>
          <w:p>
            <w:r>
              <w:t>447.113,5</w:t>
            </w:r>
          </w:p>
        </w:tc>
      </w:tr>
      <w:tr>
        <w:tc>
          <w:tcPr>
            <w:tcW w:type="dxa" w:w="4320"/>
          </w:tcPr>
          <w:p>
            <w:r>
              <w:t>Hinterbliebenenrente (60 % der Altersrente)</w:t>
            </w:r>
          </w:p>
        </w:tc>
        <w:tc>
          <w:tcPr>
            <w:tcW w:type="dxa" w:w="4320"/>
          </w:tcPr>
          <w:p>
            <w:r>
              <w:t>707,1</w:t>
            </w:r>
          </w:p>
        </w:tc>
      </w:tr>
      <w:tr>
        <w:tc>
          <w:tcPr>
            <w:tcW w:type="dxa" w:w="4320"/>
          </w:tcPr>
          <w:p>
            <w:r>
              <w:t>Berufsunfaehigkeitsrente (50 %)</w:t>
            </w:r>
          </w:p>
        </w:tc>
        <w:tc>
          <w:tcPr>
            <w:tcW w:type="dxa" w:w="4320"/>
          </w:tcPr>
          <w:p>
            <w:r>
              <w:t>589,2</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4567-222</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