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Christian Koch  |  Personal-Nr. P-1024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Christian Koch</w:t>
            </w:r>
          </w:p>
        </w:tc>
      </w:tr>
      <w:tr>
        <w:tc>
          <w:tcPr>
            <w:tcW w:type="dxa" w:w="4320"/>
          </w:tcPr>
          <w:p>
            <w:r>
              <w:t>Personalnummer</w:t>
            </w:r>
          </w:p>
        </w:tc>
        <w:tc>
          <w:tcPr>
            <w:tcW w:type="dxa" w:w="4320"/>
          </w:tcPr>
          <w:p>
            <w:r>
              <w:t>P-1024</w:t>
            </w:r>
          </w:p>
        </w:tc>
      </w:tr>
      <w:tr>
        <w:tc>
          <w:tcPr>
            <w:tcW w:type="dxa" w:w="4320"/>
          </w:tcPr>
          <w:p>
            <w:r>
              <w:t>Eintrittsdatum</w:t>
            </w:r>
          </w:p>
        </w:tc>
        <w:tc>
          <w:tcPr>
            <w:tcW w:type="dxa" w:w="4320"/>
          </w:tcPr>
          <w:p>
            <w:r>
              <w:t>01.04.2000</w:t>
            </w:r>
          </w:p>
        </w:tc>
      </w:tr>
      <w:tr>
        <w:tc>
          <w:tcPr>
            <w:tcW w:type="dxa" w:w="4320"/>
          </w:tcPr>
          <w:p>
            <w:r>
              <w:t>Anwartschaft unverfallbar seit</w:t>
            </w:r>
          </w:p>
        </w:tc>
        <w:tc>
          <w:tcPr>
            <w:tcW w:type="dxa" w:w="4320"/>
          </w:tcPr>
          <w:p>
            <w:r>
              <w:t>01.04.2003</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167,6</w:t>
            </w:r>
          </w:p>
        </w:tc>
      </w:tr>
      <w:tr>
        <w:tc>
          <w:tcPr>
            <w:tcW w:type="dxa" w:w="4320"/>
          </w:tcPr>
          <w:p>
            <w:r>
              <w:t>Gesamt-Anwartschaftskapital (Barwert)</w:t>
            </w:r>
          </w:p>
        </w:tc>
        <w:tc>
          <w:tcPr>
            <w:tcW w:type="dxa" w:w="4320"/>
          </w:tcPr>
          <w:p>
            <w:r>
              <w:t>56.313,6</w:t>
            </w:r>
          </w:p>
        </w:tc>
      </w:tr>
      <w:tr>
        <w:tc>
          <w:tcPr>
            <w:tcW w:type="dxa" w:w="4320"/>
          </w:tcPr>
          <w:p>
            <w:r>
              <w:t>Prognostizierte Monatsrente ab Alter 67</w:t>
            </w:r>
          </w:p>
        </w:tc>
        <w:tc>
          <w:tcPr>
            <w:tcW w:type="dxa" w:w="4320"/>
          </w:tcPr>
          <w:p>
            <w:r>
              <w:t>209,5</w:t>
            </w:r>
          </w:p>
        </w:tc>
      </w:tr>
      <w:tr>
        <w:tc>
          <w:tcPr>
            <w:tcW w:type="dxa" w:w="4320"/>
          </w:tcPr>
          <w:p>
            <w:r>
              <w:t>Alternativ: einmalige Kapitalauszahlung</w:t>
            </w:r>
          </w:p>
        </w:tc>
        <w:tc>
          <w:tcPr>
            <w:tcW w:type="dxa" w:w="4320"/>
          </w:tcPr>
          <w:p>
            <w:r>
              <w:t>58.566,1</w:t>
            </w:r>
          </w:p>
        </w:tc>
      </w:tr>
      <w:tr>
        <w:tc>
          <w:tcPr>
            <w:tcW w:type="dxa" w:w="4320"/>
          </w:tcPr>
          <w:p>
            <w:r>
              <w:t>Hinterbliebenenrente (60 % der Altersrente)</w:t>
            </w:r>
          </w:p>
        </w:tc>
        <w:tc>
          <w:tcPr>
            <w:tcW w:type="dxa" w:w="4320"/>
          </w:tcPr>
          <w:p>
            <w:r>
              <w:t>125,7</w:t>
            </w:r>
          </w:p>
        </w:tc>
      </w:tr>
      <w:tr>
        <w:tc>
          <w:tcPr>
            <w:tcW w:type="dxa" w:w="4320"/>
          </w:tcPr>
          <w:p>
            <w:r>
              <w:t>Berufsunfaehigkeitsrente (50 %)</w:t>
            </w:r>
          </w:p>
        </w:tc>
        <w:tc>
          <w:tcPr>
            <w:tcW w:type="dxa" w:w="4320"/>
          </w:tcPr>
          <w:p>
            <w:r>
              <w:t>104,8</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4567-224</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