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Persoenliche Jahresmitteilung zur betrieblichen Altersversorgung 2023</w:t>
      </w:r>
    </w:p>
    <w:p>
      <w:pPr>
        <w:jc w:val="center"/>
      </w:pPr>
      <w:r>
        <w:t>Juergen Lange  |  Personal-Nr. P-1027  |  Stichwert 31.12.2023  |  Versorgungswerk REG/RSG-Neuzusage 2015</w:t>
      </w:r>
    </w:p>
    <w:p/>
    <w:p>
      <w:pPr>
        <w:pStyle w:val="Heading3"/>
      </w:pPr>
      <w:r>
        <w:t>Sehr geehrte/r Versorgungsberechtigte/r,</w:t>
      </w:r>
    </w:p>
    <w:p>
      <w:r>
        <w:t>hiermit erhalten Sie - gemaess § 4a Betriebsrentengesetz (BetrAVG) - Ihre persoenliche Jahresmitteilung zur betrieblichen Altersversorgung (bAV) zum Stichtag 31. Dezember 2023.</w:t>
      </w:r>
    </w:p>
    <w:p>
      <w:r>
        <w:t>Diese Mitteilung erfolgt unaufgefordert und jaehrlich. Bitte pruefen Sie die persoenlichen Daten und melden sich bei Abweichungen innerhalb von 6 Wochen bei der HR-Abteilung (bav@brennhagen-elektronik.de).</w:t>
      </w:r>
    </w:p>
    <w:p>
      <w:pPr>
        <w:pStyle w:val="Heading3"/>
      </w:pPr>
      <w:r>
        <w:t>1. Persoenliche Versorgungsdaten</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Wert</w:t>
            </w:r>
          </w:p>
        </w:tc>
      </w:tr>
      <w:tr>
        <w:tc>
          <w:tcPr>
            <w:tcW w:type="dxa" w:w="4320"/>
          </w:tcPr>
          <w:p>
            <w:r>
              <w:t>Name</w:t>
            </w:r>
          </w:p>
        </w:tc>
        <w:tc>
          <w:tcPr>
            <w:tcW w:type="dxa" w:w="4320"/>
          </w:tcPr>
          <w:p>
            <w:r>
              <w:t>Juergen Lange</w:t>
            </w:r>
          </w:p>
        </w:tc>
      </w:tr>
      <w:tr>
        <w:tc>
          <w:tcPr>
            <w:tcW w:type="dxa" w:w="4320"/>
          </w:tcPr>
          <w:p>
            <w:r>
              <w:t>Personalnummer</w:t>
            </w:r>
          </w:p>
        </w:tc>
        <w:tc>
          <w:tcPr>
            <w:tcW w:type="dxa" w:w="4320"/>
          </w:tcPr>
          <w:p>
            <w:r>
              <w:t>P-1027</w:t>
            </w:r>
          </w:p>
        </w:tc>
      </w:tr>
      <w:tr>
        <w:tc>
          <w:tcPr>
            <w:tcW w:type="dxa" w:w="4320"/>
          </w:tcPr>
          <w:p>
            <w:r>
              <w:t>Eintrittsdatum</w:t>
            </w:r>
          </w:p>
        </w:tc>
        <w:tc>
          <w:tcPr>
            <w:tcW w:type="dxa" w:w="4320"/>
          </w:tcPr>
          <w:p>
            <w:r>
              <w:t>01.04.2021</w:t>
            </w:r>
          </w:p>
        </w:tc>
      </w:tr>
      <w:tr>
        <w:tc>
          <w:tcPr>
            <w:tcW w:type="dxa" w:w="4320"/>
          </w:tcPr>
          <w:p>
            <w:r>
              <w:t>Anwartschaft unverfallbar seit</w:t>
            </w:r>
          </w:p>
        </w:tc>
        <w:tc>
          <w:tcPr>
            <w:tcW w:type="dxa" w:w="4320"/>
          </w:tcPr>
          <w:p>
            <w:r>
              <w:t>01.04.2024</w:t>
            </w:r>
          </w:p>
        </w:tc>
      </w:tr>
      <w:tr>
        <w:tc>
          <w:tcPr>
            <w:tcW w:type="dxa" w:w="4320"/>
          </w:tcPr>
          <w:p>
            <w:r>
              <w:t>Versorgungswerk</w:t>
            </w:r>
          </w:p>
        </w:tc>
        <w:tc>
          <w:tcPr>
            <w:tcW w:type="dxa" w:w="4320"/>
          </w:tcPr>
          <w:p>
            <w:r>
              <w:t>Neuzusage 2015 (beitragsorientiert)</w:t>
            </w:r>
          </w:p>
        </w:tc>
      </w:tr>
      <w:tr>
        <w:tc>
          <w:tcPr>
            <w:tcW w:type="dxa" w:w="4320"/>
          </w:tcPr>
          <w:p>
            <w:r>
              <w:t>Beitragssatz Arbeitgeber</w:t>
            </w:r>
          </w:p>
        </w:tc>
        <w:tc>
          <w:tcPr>
            <w:tcW w:type="dxa" w:w="4320"/>
          </w:tcPr>
          <w:p>
            <w:r>
              <w:t>3,5 % Bemessungsentgelt</w:t>
            </w:r>
          </w:p>
        </w:tc>
      </w:tr>
      <w:tr>
        <w:tc>
          <w:tcPr>
            <w:tcW w:type="dxa" w:w="4320"/>
          </w:tcPr>
          <w:p>
            <w:r>
              <w:t>Entgeltumwandlung Arbeitnehmer</w:t>
            </w:r>
          </w:p>
        </w:tc>
        <w:tc>
          <w:tcPr>
            <w:tcW w:type="dxa" w:w="4320"/>
          </w:tcPr>
          <w:p>
            <w:r>
              <w:t>250 EUR/Monat</w:t>
            </w:r>
          </w:p>
        </w:tc>
      </w:tr>
      <w:tr>
        <w:tc>
          <w:tcPr>
            <w:tcW w:type="dxa" w:w="4320"/>
          </w:tcPr>
          <w:p>
            <w:r>
              <w:t>Garantieverzinsung</w:t>
            </w:r>
          </w:p>
        </w:tc>
        <w:tc>
          <w:tcPr>
            <w:tcW w:type="dxa" w:w="4320"/>
          </w:tcPr>
          <w:p>
            <w:r>
              <w:t>2,75 % p.a.</w:t>
            </w:r>
          </w:p>
        </w:tc>
      </w:tr>
    </w:tbl>
    <w:p>
      <w:pPr>
        <w:pStyle w:val="Heading3"/>
      </w:pPr>
      <w:r>
        <w:t>2. Anwartschaftsbarwerte zum 31.12.2023</w:t>
      </w:r>
    </w:p>
    <w:tbl>
      <w:tblPr>
        <w:tblStyle w:val="TableGrid"/>
        <w:tblW w:type="auto" w:w="0"/>
        <w:tblLook w:firstColumn="1" w:firstRow="1" w:lastColumn="0" w:lastRow="0" w:noHBand="0" w:noVBand="1" w:val="04A0"/>
      </w:tblPr>
      <w:tblGrid>
        <w:gridCol w:w="4320"/>
        <w:gridCol w:w="4320"/>
      </w:tblGrid>
      <w:tr>
        <w:tc>
          <w:tcPr>
            <w:tcW w:type="dxa" w:w="4320"/>
          </w:tcPr>
          <w:p>
            <w:r>
              <w:t>Komponente</w:t>
            </w:r>
          </w:p>
        </w:tc>
        <w:tc>
          <w:tcPr>
            <w:tcW w:type="dxa" w:w="4320"/>
          </w:tcPr>
          <w:p>
            <w:r>
              <w:t>Wert (EUR)</w:t>
            </w:r>
          </w:p>
        </w:tc>
      </w:tr>
      <w:tr>
        <w:tc>
          <w:tcPr>
            <w:tcW w:type="dxa" w:w="4320"/>
          </w:tcPr>
          <w:p>
            <w:r>
              <w:t>Bisher erworbener Rentenbaustein (p.a.)</w:t>
            </w:r>
          </w:p>
        </w:tc>
        <w:tc>
          <w:tcPr>
            <w:tcW w:type="dxa" w:w="4320"/>
          </w:tcPr>
          <w:p>
            <w:r>
              <w:t>279,8</w:t>
            </w:r>
          </w:p>
        </w:tc>
      </w:tr>
      <w:tr>
        <w:tc>
          <w:tcPr>
            <w:tcW w:type="dxa" w:w="4320"/>
          </w:tcPr>
          <w:p>
            <w:r>
              <w:t>Gesamt-Anwartschaftskapital (Barwert)</w:t>
            </w:r>
          </w:p>
        </w:tc>
        <w:tc>
          <w:tcPr>
            <w:tcW w:type="dxa" w:w="4320"/>
          </w:tcPr>
          <w:p>
            <w:r>
              <w:t>104.085,6</w:t>
            </w:r>
          </w:p>
        </w:tc>
      </w:tr>
      <w:tr>
        <w:tc>
          <w:tcPr>
            <w:tcW w:type="dxa" w:w="4320"/>
          </w:tcPr>
          <w:p>
            <w:r>
              <w:t>Prognostizierte Monatsrente ab Alter 67</w:t>
            </w:r>
          </w:p>
        </w:tc>
        <w:tc>
          <w:tcPr>
            <w:tcW w:type="dxa" w:w="4320"/>
          </w:tcPr>
          <w:p>
            <w:r>
              <w:t>349,8</w:t>
            </w:r>
          </w:p>
        </w:tc>
      </w:tr>
      <w:tr>
        <w:tc>
          <w:tcPr>
            <w:tcW w:type="dxa" w:w="4320"/>
          </w:tcPr>
          <w:p>
            <w:r>
              <w:t>Alternativ: einmalige Kapitalauszahlung</w:t>
            </w:r>
          </w:p>
        </w:tc>
        <w:tc>
          <w:tcPr>
            <w:tcW w:type="dxa" w:w="4320"/>
          </w:tcPr>
          <w:p>
            <w:r>
              <w:t>108.249,0</w:t>
            </w:r>
          </w:p>
        </w:tc>
      </w:tr>
      <w:tr>
        <w:tc>
          <w:tcPr>
            <w:tcW w:type="dxa" w:w="4320"/>
          </w:tcPr>
          <w:p>
            <w:r>
              <w:t>Hinterbliebenenrente (60 % der Altersrente)</w:t>
            </w:r>
          </w:p>
        </w:tc>
        <w:tc>
          <w:tcPr>
            <w:tcW w:type="dxa" w:w="4320"/>
          </w:tcPr>
          <w:p>
            <w:r>
              <w:t>209,9</w:t>
            </w:r>
          </w:p>
        </w:tc>
      </w:tr>
      <w:tr>
        <w:tc>
          <w:tcPr>
            <w:tcW w:type="dxa" w:w="4320"/>
          </w:tcPr>
          <w:p>
            <w:r>
              <w:t>Berufsunfaehigkeitsrente (50 %)</w:t>
            </w:r>
          </w:p>
        </w:tc>
        <w:tc>
          <w:tcPr>
            <w:tcW w:type="dxa" w:w="4320"/>
          </w:tcPr>
          <w:p>
            <w:r>
              <w:t>174,9</w:t>
            </w:r>
          </w:p>
        </w:tc>
      </w:tr>
    </w:tbl>
    <w:p>
      <w:pPr>
        <w:pStyle w:val="Heading3"/>
      </w:pPr>
      <w:r>
        <w:t>3. Erlaeuterungen</w:t>
      </w:r>
    </w:p>
    <w:p>
      <w:r>
        <w:t>Die ausgewiesenen Werte basieren auf dem versicherungsmathematischen Gutachten der Heubeck AG, Koeln, vom Februar 2024, mit folgenden Annahmen: Diskontierungssatz 3,40 % p.a., Gehaltstrend 2,5 % p.a., Rententrend 1,75 % p.a., Sterbetafeln Heubeck Richttafeln 2018 G.</w:t>
      </w:r>
    </w:p>
    <w:p>
      <w:r>
        <w:t>Der Wert »Gesamt-Anwartschaftskapital« stellt den Barwert Ihrer bisher erworbenen Versorgungsleistungen dar und ist nicht mit einem garantierten Auszahlungsbetrag gleichzusetzen. Die endgueltige Hoehe der Leistungen bemisst sich nach der zum Zeitpunkt des Versorgungsfalls geltenden Versorgungsordnung.</w:t>
      </w:r>
    </w:p>
    <w:p>
      <w:pPr>
        <w:pStyle w:val="Heading3"/>
      </w:pPr>
      <w:r>
        <w:t>4. Insolvenzsicherung</w:t>
      </w:r>
    </w:p>
    <w:p>
      <w:r>
        <w:t>Ihre Anwartschaft ist gemaess § 7 BetrAVG durch den Pensions-Sicherungs-Verein a.G. (PSVaG), Koeln, gegen Insolvenz des Arbeitgebers gesichert. Die Beitraege werden vom Arbeitgeber getragen.</w:t>
      </w:r>
    </w:p>
    <w:p>
      <w:r>
        <w:t>Zusaetzlich besteht ein Contractual Trust Arrangement (CTA) zur insolvenzfesten Auslagerung des Pensionsvermoegens (Brennhagen Pension Trust e.V., gegruendet 2018, Treuhaender: RBS RoeverBroennerSusat Mazars).</w:t>
      </w:r>
    </w:p>
    <w:p>
      <w:pPr>
        <w:pStyle w:val="Heading3"/>
      </w:pPr>
      <w:r>
        <w:t>5. Steuerliche Behandlung</w:t>
      </w:r>
    </w:p>
    <w:p>
      <w:r>
        <w:t>Beitraege zur Entgeltumwandlung sind im Rahmen der § 3 Nr. 63 EStG-Grenze (8 % BBG-West, 2023 = 7.008 EUR p.a.) steuer- und sozialabgabenfrei. Bei spaeterer Auszahlung erfolgt nachgelagerte Besteuerung gemaess § 22 Nr. 5 EStG.</w:t>
      </w:r>
    </w:p>
    <w:p>
      <w:r>
        <w:t>Fragen zur individuellen steuerlichen Behandlung beantwortet Ihre HR-Ansprechperson oder die Steuerberatung.</w:t>
      </w:r>
    </w:p>
    <w:p>
      <w:pPr>
        <w:pStyle w:val="Heading3"/>
      </w:pPr>
      <w:r>
        <w:t>Ansprechpartner und Rueckfragen</w:t>
      </w:r>
    </w:p>
    <w:p>
      <w:r>
        <w:t>Bei Fragen wenden Sie sich bitte an:</w:t>
      </w:r>
    </w:p>
    <w:p>
      <w:r>
        <w:t>HR Pensionen / bAV-Service Center</w:t>
        <w:br/>
        <w:t>Brennhagen Elektronik AG, Vaihinger Straße 120, 70567 Stuttgart</w:t>
        <w:br/>
        <w:t>E-Mail: bav@brennhagen-elektronik.de  |  Tel.: +49 711 4567-227</w:t>
        <w:br/>
        <w:t>Sachbearbeiterin: Frau Susanne Loeffler (Mo-Do 9-15 Uhr)</w:t>
        <w:br/>
        <w:t>Pensionsbeauftragter: Markus Pflanzer (Group Treasurer)</w:t>
      </w:r>
    </w:p>
    <w:p>
      <w:r>
        <w:t>Mit freundlichen Gruessen</w:t>
        <w:br/>
        <w:t>i.A. HR Compensation &amp;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