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Hans-Peter Braun  |  Personal-Nr. P-1028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Hans-Peter Braun</w:t>
            </w:r>
          </w:p>
        </w:tc>
      </w:tr>
      <w:tr>
        <w:tc>
          <w:tcPr>
            <w:tcW w:type="dxa" w:w="4320"/>
          </w:tcPr>
          <w:p>
            <w:r>
              <w:t>Personalnummer</w:t>
            </w:r>
          </w:p>
        </w:tc>
        <w:tc>
          <w:tcPr>
            <w:tcW w:type="dxa" w:w="4320"/>
          </w:tcPr>
          <w:p>
            <w:r>
              <w:t>P-1028</w:t>
            </w:r>
          </w:p>
        </w:tc>
      </w:tr>
      <w:tr>
        <w:tc>
          <w:tcPr>
            <w:tcW w:type="dxa" w:w="4320"/>
          </w:tcPr>
          <w:p>
            <w:r>
              <w:t>Eintrittsdatum</w:t>
            </w:r>
          </w:p>
        </w:tc>
        <w:tc>
          <w:tcPr>
            <w:tcW w:type="dxa" w:w="4320"/>
          </w:tcPr>
          <w:p>
            <w:r>
              <w:t>01.04.2004</w:t>
            </w:r>
          </w:p>
        </w:tc>
      </w:tr>
      <w:tr>
        <w:tc>
          <w:tcPr>
            <w:tcW w:type="dxa" w:w="4320"/>
          </w:tcPr>
          <w:p>
            <w:r>
              <w:t>Anwartschaft unverfallbar seit</w:t>
            </w:r>
          </w:p>
        </w:tc>
        <w:tc>
          <w:tcPr>
            <w:tcW w:type="dxa" w:w="4320"/>
          </w:tcPr>
          <w:p>
            <w:r>
              <w:t>01.04.2007</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317,2</w:t>
            </w:r>
          </w:p>
        </w:tc>
      </w:tr>
      <w:tr>
        <w:tc>
          <w:tcPr>
            <w:tcW w:type="dxa" w:w="4320"/>
          </w:tcPr>
          <w:p>
            <w:r>
              <w:t>Gesamt-Anwartschaftskapital (Barwert)</w:t>
            </w:r>
          </w:p>
        </w:tc>
        <w:tc>
          <w:tcPr>
            <w:tcW w:type="dxa" w:w="4320"/>
          </w:tcPr>
          <w:p>
            <w:r>
              <w:t>121.804,8</w:t>
            </w:r>
          </w:p>
        </w:tc>
      </w:tr>
      <w:tr>
        <w:tc>
          <w:tcPr>
            <w:tcW w:type="dxa" w:w="4320"/>
          </w:tcPr>
          <w:p>
            <w:r>
              <w:t>Prognostizierte Monatsrente ab Alter 67</w:t>
            </w:r>
          </w:p>
        </w:tc>
        <w:tc>
          <w:tcPr>
            <w:tcW w:type="dxa" w:w="4320"/>
          </w:tcPr>
          <w:p>
            <w:r>
              <w:t>396,5</w:t>
            </w:r>
          </w:p>
        </w:tc>
      </w:tr>
      <w:tr>
        <w:tc>
          <w:tcPr>
            <w:tcW w:type="dxa" w:w="4320"/>
          </w:tcPr>
          <w:p>
            <w:r>
              <w:t>Alternativ: einmalige Kapitalauszahlung</w:t>
            </w:r>
          </w:p>
        </w:tc>
        <w:tc>
          <w:tcPr>
            <w:tcW w:type="dxa" w:w="4320"/>
          </w:tcPr>
          <w:p>
            <w:r>
              <w:t>126.677,0</w:t>
            </w:r>
          </w:p>
        </w:tc>
      </w:tr>
      <w:tr>
        <w:tc>
          <w:tcPr>
            <w:tcW w:type="dxa" w:w="4320"/>
          </w:tcPr>
          <w:p>
            <w:r>
              <w:t>Hinterbliebenenrente (60 % der Altersrente)</w:t>
            </w:r>
          </w:p>
        </w:tc>
        <w:tc>
          <w:tcPr>
            <w:tcW w:type="dxa" w:w="4320"/>
          </w:tcPr>
          <w:p>
            <w:r>
              <w:t>237,9</w:t>
            </w:r>
          </w:p>
        </w:tc>
      </w:tr>
      <w:tr>
        <w:tc>
          <w:tcPr>
            <w:tcW w:type="dxa" w:w="4320"/>
          </w:tcPr>
          <w:p>
            <w:r>
              <w:t>Berufsunfaehigkeitsrente (50 %)</w:t>
            </w:r>
          </w:p>
        </w:tc>
        <w:tc>
          <w:tcPr>
            <w:tcW w:type="dxa" w:w="4320"/>
          </w:tcPr>
          <w:p>
            <w:r>
              <w:t>198,2</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4567-228</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