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Dr. Wolfgang Fischer  |  Personal-Nr. P-1029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Dr. Wolfgang Fischer</w:t>
            </w:r>
          </w:p>
        </w:tc>
      </w:tr>
      <w:tr>
        <w:tc>
          <w:tcPr>
            <w:tcW w:type="dxa" w:w="4320"/>
          </w:tcPr>
          <w:p>
            <w:r>
              <w:t>Personalnummer</w:t>
            </w:r>
          </w:p>
        </w:tc>
        <w:tc>
          <w:tcPr>
            <w:tcW w:type="dxa" w:w="4320"/>
          </w:tcPr>
          <w:p>
            <w:r>
              <w:t>P-1029</w:t>
            </w:r>
          </w:p>
        </w:tc>
      </w:tr>
      <w:tr>
        <w:tc>
          <w:tcPr>
            <w:tcW w:type="dxa" w:w="4320"/>
          </w:tcPr>
          <w:p>
            <w:r>
              <w:t>Eintrittsdatum</w:t>
            </w:r>
          </w:p>
        </w:tc>
        <w:tc>
          <w:tcPr>
            <w:tcW w:type="dxa" w:w="4320"/>
          </w:tcPr>
          <w:p>
            <w:r>
              <w:t>01.04.2011</w:t>
            </w:r>
          </w:p>
        </w:tc>
      </w:tr>
      <w:tr>
        <w:tc>
          <w:tcPr>
            <w:tcW w:type="dxa" w:w="4320"/>
          </w:tcPr>
          <w:p>
            <w:r>
              <w:t>Anwartschaft unverfallbar seit</w:t>
            </w:r>
          </w:p>
        </w:tc>
        <w:tc>
          <w:tcPr>
            <w:tcW w:type="dxa" w:w="4320"/>
          </w:tcPr>
          <w:p>
            <w:r>
              <w:t>01.04.2014</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354,6</w:t>
            </w:r>
          </w:p>
        </w:tc>
      </w:tr>
      <w:tr>
        <w:tc>
          <w:tcPr>
            <w:tcW w:type="dxa" w:w="4320"/>
          </w:tcPr>
          <w:p>
            <w:r>
              <w:t>Gesamt-Anwartschaftskapital (Barwert)</w:t>
            </w:r>
          </w:p>
        </w:tc>
        <w:tc>
          <w:tcPr>
            <w:tcW w:type="dxa" w:w="4320"/>
          </w:tcPr>
          <w:p>
            <w:r>
              <w:t>140.421,6</w:t>
            </w:r>
          </w:p>
        </w:tc>
      </w:tr>
      <w:tr>
        <w:tc>
          <w:tcPr>
            <w:tcW w:type="dxa" w:w="4320"/>
          </w:tcPr>
          <w:p>
            <w:r>
              <w:t>Prognostizierte Monatsrente ab Alter 67</w:t>
            </w:r>
          </w:p>
        </w:tc>
        <w:tc>
          <w:tcPr>
            <w:tcW w:type="dxa" w:w="4320"/>
          </w:tcPr>
          <w:p>
            <w:r>
              <w:t>443,2</w:t>
            </w:r>
          </w:p>
        </w:tc>
      </w:tr>
      <w:tr>
        <w:tc>
          <w:tcPr>
            <w:tcW w:type="dxa" w:w="4320"/>
          </w:tcPr>
          <w:p>
            <w:r>
              <w:t>Alternativ: einmalige Kapitalauszahlung</w:t>
            </w:r>
          </w:p>
        </w:tc>
        <w:tc>
          <w:tcPr>
            <w:tcW w:type="dxa" w:w="4320"/>
          </w:tcPr>
          <w:p>
            <w:r>
              <w:t>146.038,5</w:t>
            </w:r>
          </w:p>
        </w:tc>
      </w:tr>
      <w:tr>
        <w:tc>
          <w:tcPr>
            <w:tcW w:type="dxa" w:w="4320"/>
          </w:tcPr>
          <w:p>
            <w:r>
              <w:t>Hinterbliebenenrente (60 % der Altersrente)</w:t>
            </w:r>
          </w:p>
        </w:tc>
        <w:tc>
          <w:tcPr>
            <w:tcW w:type="dxa" w:w="4320"/>
          </w:tcPr>
          <w:p>
            <w:r>
              <w:t>266,0</w:t>
            </w:r>
          </w:p>
        </w:tc>
      </w:tr>
      <w:tr>
        <w:tc>
          <w:tcPr>
            <w:tcW w:type="dxa" w:w="4320"/>
          </w:tcPr>
          <w:p>
            <w:r>
              <w:t>Berufsunfaehigkeitsrente (50 %)</w:t>
            </w:r>
          </w:p>
        </w:tc>
        <w:tc>
          <w:tcPr>
            <w:tcW w:type="dxa" w:w="4320"/>
          </w:tcPr>
          <w:p>
            <w:r>
              <w:t>221,6</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4567-229</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