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PRJ-2021-001 – ECU-900 Gen3 Entwicklung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18.5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Q1 2021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Q4 2023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PRJ-2021-001 »ECU-900 Gen3 Entwicklung«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VW (MEB+/MQB-Evo), Stellantis.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Vollstaendige Entwicklung der dritten Generation der Powertrain-ECU mit 32-bit Aurix TC397, AUTOSAR 4.3 R20-11 Stack, ISO 26262 ASIL-D und Cybersecurity nach ISO/SAE 21434. Zielkosten 78,50 EUR/Stueck bei Stueckzahlen 1,2 Mio. p.a.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Hardware-Design 8-lagiger PCB</w:t>
      </w:r>
    </w:p>
    <w:p>
      <w:pPr>
        <w:pStyle w:val="ListBullet"/>
      </w:pPr>
      <w:r>
        <w:t>Bootloader + OTA</w:t>
      </w:r>
    </w:p>
    <w:p>
      <w:pPr>
        <w:pStyle w:val="ListBullet"/>
      </w:pPr>
      <w:r>
        <w:t>Diagnose ueber UDS/DoIP</w:t>
      </w:r>
    </w:p>
    <w:p>
      <w:pPr>
        <w:pStyle w:val="ListBullet"/>
      </w:pPr>
      <w:r>
        <w:t>Funktionssicherheits-Konzept</w:t>
      </w:r>
    </w:p>
    <w:p>
      <w:pPr>
        <w:pStyle w:val="ListBullet"/>
      </w:pPr>
      <w:r>
        <w:t>EMV-/Klimavalidierung gem. LV124</w:t>
      </w:r>
    </w:p>
    <w:p>
      <w:pPr>
        <w:pStyle w:val="ListBullet"/>
      </w:pPr>
      <w:r>
        <w:t>PPAP fuer VW + Stellantis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VW (MEB+/MQB-Evo), Stellantis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Aurix-Liefersituation (Infineon Allocation) Q3/2022</w:t>
      </w:r>
    </w:p>
    <w:p>
      <w:pPr>
        <w:pStyle w:val="ListBullet"/>
      </w:pPr>
      <w:r>
        <w:t>AUTOSAR-Stack-Lizenzkosten Vector ueber Plan</w:t>
      </w:r>
    </w:p>
    <w:p>
      <w:pPr>
        <w:pStyle w:val="ListBullet"/>
      </w:pPr>
      <w:r>
        <w:t>ASIL-D Sicherheitsnachweis Konvergenz-Risiko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Q1 2021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18.5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Thomas Weber                          Projektleitung</w:t>
        <w:br/>
        <w:t>Projekt-Sponsor                          PL ECU-900 Gen3 Entwicklung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