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PRJ-2021-001 – ECU-900 Gen3 Entwicklung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</w:tbl>
    <w:p>
      <w:pPr>
        <w:pStyle w:val="Heading3"/>
      </w:pPr>
      <w:r>
        <w:t>3. Zielsetzung</w:t>
      </w:r>
    </w:p>
    <w:p>
      <w:r>
        <w:t>Vollstaendige Entwicklung der dritten Generation der Powertrain-ECU mit 32-bit Aurix TC397, AUTOSAR 4.3 R20-11 Stack, ISO 26262 ASIL-D und Cybersecurity nach ISO/SAE 21434. Zielkosten 78,50 EUR/Stueck bei Stueckzahlen 1,2 Mio. p.a. Ziel-Termin SOP: Q4 2023.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Hardware-Design 8-lagiger PCB</w:t>
      </w:r>
    </w:p>
    <w:p>
      <w:pPr>
        <w:pStyle w:val="ListBullet"/>
      </w:pPr>
      <w:r>
        <w:t>Bootloader + OTA</w:t>
      </w:r>
    </w:p>
    <w:p>
      <w:pPr>
        <w:pStyle w:val="ListBullet"/>
      </w:pPr>
      <w:r>
        <w:t>Diagnose ueber UDS/DoIP</w:t>
      </w:r>
    </w:p>
    <w:p>
      <w:pPr>
        <w:pStyle w:val="ListBullet"/>
      </w:pPr>
      <w:r>
        <w:t>Funktionssicherheits-Konzept</w:t>
      </w:r>
    </w:p>
    <w:p>
      <w:pPr>
        <w:pStyle w:val="ListBullet"/>
      </w:pPr>
      <w:r>
        <w:t>EMV-/Klimavalidierung gem. LV124</w:t>
      </w:r>
    </w:p>
    <w:p>
      <w:pPr>
        <w:pStyle w:val="ListBullet"/>
      </w:pPr>
      <w:r>
        <w:t>PPAP fuer VW + Stellantis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Dr. Thomas Weber                          Dipl.-Ing. Andreas Schultheiss (REG)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