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Lessons-Learned-Bericht PRJ-2021-001 – ECU-900 Gen3 Entwicklung</w:t>
      </w:r>
    </w:p>
    <w:p>
      <w:pPr>
        <w:jc w:val="center"/>
      </w:pPr>
      <w:r>
        <w:t>Post-Mortem-Workshop, Stand 2023</w:t>
      </w:r>
    </w:p>
    <w:p/>
    <w:p>
      <w:pPr>
        <w:pStyle w:val="Heading3"/>
      </w:pPr>
      <w:r>
        <w:t>1. Projektzusammenfassung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Gen3 Entwicklung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Genehmigtes Budget</w:t>
            </w:r>
          </w:p>
        </w:tc>
        <w:tc>
          <w:tcPr>
            <w:tcW w:type="dxa" w:w="4320"/>
          </w:tcPr>
          <w:p>
            <w:r>
              <w:t>18.5 Mio. EUR</w:t>
            </w:r>
          </w:p>
        </w:tc>
      </w:tr>
      <w:tr>
        <w:tc>
          <w:tcPr>
            <w:tcW w:type="dxa" w:w="4320"/>
          </w:tcPr>
          <w:p>
            <w:r>
              <w:t>Ist-Kosten zum Abschluss</w:t>
            </w:r>
          </w:p>
        </w:tc>
        <w:tc>
          <w:tcPr>
            <w:tcW w:type="dxa" w:w="4320"/>
          </w:tcPr>
          <w:p>
            <w:r>
              <w:t>19.2 Mio. EUR (+4 %)</w:t>
            </w:r>
          </w:p>
        </w:tc>
      </w:tr>
      <w:tr>
        <w:tc>
          <w:tcPr>
            <w:tcW w:type="dxa" w:w="4320"/>
          </w:tcPr>
          <w:p>
            <w:r>
              <w:t>Projektabschluss</w:t>
            </w:r>
          </w:p>
        </w:tc>
        <w:tc>
          <w:tcPr>
            <w:tcW w:type="dxa" w:w="4320"/>
          </w:tcPr>
          <w:p>
            <w:r>
              <w:t>2023</w:t>
            </w:r>
          </w:p>
        </w:tc>
      </w:tr>
    </w:tbl>
    <w:p>
      <w:pPr>
        <w:pStyle w:val="Heading3"/>
      </w:pPr>
      <w:r>
        <w:t>2. Zielereichung</w:t>
      </w:r>
    </w:p>
    <w:p>
      <w:r>
        <w:t>Die im Charter definierten Projektziele wurden im Wesentlichen erreicht. Der vereinbarte Funktionsumfang konnte mit kleinen Abweichungen (Carry-Over-Items im Umfang von ca. 3 % der User-Stories) ausgeliefert werden. Der Termin SOP wurde um 6 Wochen ueberschritten, hauptsaechlich verursacht durch externe Lieferengpaesse bei Halbleitern (Aurix-Allocation Q3/2022 bzw. Qualcomm SA8295). Das Projekt wurde mit einer Budget-Ueberschreitung von rund 4 % (kalkuliert auf Genehmigtes Budget) abgeschlossen, was innerhalb der vom Vorstand definierten 5-%-Toleranz liegt.</w:t>
      </w:r>
    </w:p>
    <w:p>
      <w:pPr>
        <w:pStyle w:val="Heading3"/>
      </w:pPr>
      <w:r>
        <w:t>3. Was hat gut funktioniert (Best Practices)</w:t>
      </w:r>
    </w:p>
    <w:p>
      <w:pPr>
        <w:pStyle w:val="ListBullet"/>
      </w:pPr>
      <w:r>
        <w:t>Klar definierter Charter zu Projektbeginn (Charter v1.0 freigegeben vor Kick-Off)</w:t>
      </w:r>
    </w:p>
    <w:p>
      <w:pPr>
        <w:pStyle w:val="ListBullet"/>
      </w:pPr>
      <w:r>
        <w:t>Wochentliche Risiko-Reviews ab Projektphase G2</w:t>
      </w:r>
    </w:p>
    <w:p>
      <w:pPr>
        <w:pStyle w:val="ListBullet"/>
      </w:pPr>
      <w:r>
        <w:t>Frueher Einbezug des Konzernbetriebsrates bei Personalplanung</w:t>
      </w:r>
    </w:p>
    <w:p>
      <w:pPr>
        <w:pStyle w:val="ListBullet"/>
      </w:pPr>
      <w:r>
        <w:t>Stabile Personenausstattung im Kernteam (Fluktuation &lt; 5 %)</w:t>
      </w:r>
    </w:p>
    <w:p>
      <w:pPr>
        <w:pStyle w:val="ListBullet"/>
      </w:pPr>
      <w:r>
        <w:t>Aktive Lieferanten-Steuerung im Stoerungsfall (Eskalation auf C-Level)</w:t>
      </w:r>
    </w:p>
    <w:p>
      <w:pPr>
        <w:pStyle w:val="ListBullet"/>
      </w:pPr>
      <w:r>
        <w:t>Tools-Konvergenz auf Vector, dSpace, JIRA, Confluence ohne Insellösungen</w:t>
      </w:r>
    </w:p>
    <w:p>
      <w:pPr>
        <w:pStyle w:val="ListBullet"/>
      </w:pPr>
      <w:r>
        <w:t>Lessons-Learned-Workshops nach jedem Gate ab G3</w:t>
      </w:r>
    </w:p>
    <w:p>
      <w:pPr>
        <w:pStyle w:val="Heading3"/>
      </w:pPr>
      <w:r>
        <w:t>4. Was sollten wir besser machen (Verbesserungspotenzial)</w:t>
      </w:r>
    </w:p>
    <w:p>
      <w:pPr>
        <w:pStyle w:val="ListBullet"/>
      </w:pPr>
      <w:r>
        <w:t>Frueheres Eskalations-Protokoll bei Lieferanten-Risiken (Halbleiter-Allocation)</w:t>
      </w:r>
    </w:p>
    <w:p>
      <w:pPr>
        <w:pStyle w:val="ListBullet"/>
      </w:pPr>
      <w:r>
        <w:t>Zentrale Engineering-Capacity-Planung (RSG-Engineers waren Bottleneck)</w:t>
      </w:r>
    </w:p>
    <w:p>
      <w:pPr>
        <w:pStyle w:val="ListBullet"/>
      </w:pPr>
      <w:r>
        <w:t>Konsequentere Anwendung der ASPICE-Level-3-Templates (RSG)</w:t>
      </w:r>
    </w:p>
    <w:p>
      <w:pPr>
        <w:pStyle w:val="ListBullet"/>
      </w:pPr>
      <w:r>
        <w:t>Kunden-spezifische OEM-Anforderungen frueher kanalisieren (Joint-Workshops Q1)</w:t>
      </w:r>
    </w:p>
    <w:p>
      <w:pPr>
        <w:pStyle w:val="ListBullet"/>
      </w:pPr>
      <w:r>
        <w:t>Schaerfere Trennung Linien- vs. Projektaufgaben fuer Schluesselpersonen</w:t>
      </w:r>
    </w:p>
    <w:p>
      <w:pPr>
        <w:pStyle w:val="ListBullet"/>
      </w:pPr>
      <w:r>
        <w:t>Standardisiertes EAC-/ETC-Reporting auf monatlicher Basis ab G2</w:t>
      </w:r>
    </w:p>
    <w:p>
      <w:pPr>
        <w:pStyle w:val="ListBullet"/>
      </w:pPr>
      <w:r>
        <w:t>Vorab-Investition in Test-Automation (CI/CD) zahlt sich aus</w:t>
      </w:r>
    </w:p>
    <w:p>
      <w:pPr>
        <w:pStyle w:val="Heading3"/>
      </w:pPr>
      <w:r>
        <w:t>5. Konkrete Massnahmen fuer Folgeprojekte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Verantwortlich (Linie)</w:t>
            </w:r>
          </w:p>
        </w:tc>
        <w:tc>
          <w:tcPr>
            <w:tcW w:type="dxa" w:w="2160"/>
          </w:tcPr>
          <w:p>
            <w:r>
              <w:t>Umsetzungstermin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Konzern-PMO-Template Charter v2.0 einfuehren</w:t>
            </w:r>
          </w:p>
        </w:tc>
        <w:tc>
          <w:tcPr>
            <w:tcW w:type="dxa" w:w="2160"/>
          </w:tcPr>
          <w:p>
            <w:r>
              <w:t>PMO</w:t>
            </w:r>
          </w:p>
        </w:tc>
        <w:tc>
          <w:tcPr>
            <w:tcW w:type="dxa" w:w="2160"/>
          </w:tcPr>
          <w:p>
            <w:r>
              <w:t>Q2/Folgejahr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Halbleiter-Strategic-Sourcing-Programm aufsetzen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  <w:tc>
          <w:tcPr>
            <w:tcW w:type="dxa" w:w="2160"/>
          </w:tcPr>
          <w:p>
            <w:r>
              <w:t>Q2/Folgejahr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Capacity-Planning-Tool Engineering RSG einfuehren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  <w:tc>
          <w:tcPr>
            <w:tcW w:type="dxa" w:w="2160"/>
          </w:tcPr>
          <w:p>
            <w:r>
              <w:t>Q3/Folgejahr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ASPICE-Compliance-Audit als interner Quartals-Check</w:t>
            </w:r>
          </w:p>
        </w:tc>
        <w:tc>
          <w:tcPr>
            <w:tcW w:type="dxa" w:w="2160"/>
          </w:tcPr>
          <w:p>
            <w:r>
              <w:t>Group Quality</w:t>
            </w:r>
          </w:p>
        </w:tc>
        <w:tc>
          <w:tcPr>
            <w:tcW w:type="dxa" w:w="2160"/>
          </w:tcPr>
          <w:p>
            <w:r>
              <w:t>ab Q1/Folgejahr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Joint-OEM-Workshops nach Charter als Pflicht</w:t>
            </w:r>
          </w:p>
        </w:tc>
        <w:tc>
          <w:tcPr>
            <w:tcW w:type="dxa" w:w="2160"/>
          </w:tcPr>
          <w:p>
            <w:r>
              <w:t>Vertrieb / PMO</w:t>
            </w:r>
          </w:p>
        </w:tc>
        <w:tc>
          <w:tcPr>
            <w:tcW w:type="dxa" w:w="2160"/>
          </w:tcPr>
          <w:p>
            <w:r>
              <w:t>ab Q1/Folgejahr</w:t>
            </w:r>
          </w:p>
        </w:tc>
      </w:tr>
    </w:tbl>
    <w:p>
      <w:pPr>
        <w:pStyle w:val="Heading3"/>
      </w:pPr>
      <w:r>
        <w:t>6. Risiko-Realisierungen</w:t>
      </w:r>
    </w:p>
    <w:p>
      <w:r>
        <w:t>Von den im Charter dokumentierten Top-Risiken haben sich zwei (Halbleiter-Liefersituation und OEM-Spec-Spaetaenderungen) materialisiert und wesentliche Auswirkungen auf den Termin und das Budget gehabt. Die uebrigen Risiken konnten durch fruehzeitige Massnahmen entweder vermieden (z. B. Personal-Bindungsprogramm) oder in der Auswirkung minimiert werden. Eine konsolidierte Risiko-Datenbank wird im PMO gepflegt und steht fuer Folgeprojekte als Erfahrungsbasis zur Verfuegung.</w:t>
      </w:r>
    </w:p>
    <w:p>
      <w:pPr>
        <w:pStyle w:val="Heading3"/>
      </w:pPr>
      <w:r>
        <w:t>7. Empfehlungen an den Vorstand / Aufsichtsrat</w:t>
      </w:r>
    </w:p>
    <w:p>
      <w:r>
        <w:t>Der Lenkungsausschuss empfiehlt dem Vorstand, die im Punkt 5 genannten Massnahmen als verbindliche Konzernrichtlinien zu verankern. Insbesondere das Strategic-Sourcing-Programm fuer kritische Halbleiter ist als strategisch zwingend einzustufen. Eine Vorlage an den Pruefungsausschuss des Aufsichtsrats ist im Rahmen des naechsten Quartals-Reportings vorgesehen.</w:t>
      </w:r>
    </w:p>
    <w:p>
      <w:pPr>
        <w:pStyle w:val="Heading3"/>
      </w:pPr>
      <w:r>
        <w:t>8. Workshop-Teilnehmer und Unterschriften</w:t>
      </w:r>
    </w:p>
    <w:p>
      <w:r>
        <w:t>Ort, Datum: Stuttgart, den 15. Dezember 2023</w:t>
      </w:r>
    </w:p>
    <w:p>
      <w:r>
        <w:t>_________________________            _________________________</w:t>
        <w:br/>
        <w:t>Dr. Thomas Weber                          Dipl.-Ing. Andreas Schultheiss (REG)</w:t>
        <w:br/>
        <w:t>Projekt-Sponsor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