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2021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Oktober 2021 planmaessig in der laufenden Phase. Budget-Forecast +3 % – Steuerungsmassnahmen eingeleitet.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2021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