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April 2022 planmaessig in der laufenden Phase. Budget-Forecast +3 % – Steuerungsmassnahmen eingeleitet.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