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Mai 2022 – PRJ-2021-001</w:t>
      </w:r>
    </w:p>
    <w:p>
      <w:pPr>
        <w:jc w:val="center"/>
      </w:pPr>
      <w:r>
        <w:t>ECU-900 Gen3 Entwicklung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Gen3 Entwicklung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Dipl.-Ing. Andreas Schultheiss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Mai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Juni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PRJ-2021-001 (ECU-900 Gen3 Entwicklung) befindet sich im Berichtsmonat Mai 2022 planmaessig in der laufenden Phase. Qualitaets-Issue B-Muster identifiziert; Hotfix in Validierung. Der Hauptkunde VW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Juni 2022</w:t>
      </w:r>
    </w:p>
    <w:p>
      <w:r>
        <w:t>_________________________            _________________________</w:t>
        <w:br/>
        <w:t>Dipl.-Ing. Andreas Schultheiss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