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Juli 2022 planmaessig in der laufenden Phase. Termin- und Budget-konform; keine kritischen Risiken offen.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