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2022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Dezember 2022 planmaessig in der laufenden Phase. Termin- und Budget-konform; keine kritischen Risiken offen.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Januar 2023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