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2023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Januar 2023 planmaessig in der laufenden Phase. Termin- und Budget-konform; keine kritischen Risiken offen.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Februar 2023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