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Maerz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Maerz 2021 planmaessig in der laufenden Phase. Termin- und Budget-konform; keine kritischen Risiken offen.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2021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