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August 2021 planmaessig in der laufenden Phase. Termin- und Budget-konform; keine kritischen Risiken offen.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