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PRJ-2021-002 – ADAS-V4D Kalibrierungsplattform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</w:tbl>
    <w:p>
      <w:pPr>
        <w:pStyle w:val="Heading3"/>
      </w:pPr>
      <w:r>
        <w:t>3. Zielsetzung</w:t>
      </w:r>
    </w:p>
    <w:p>
      <w:r>
        <w:t>Aufbau einer durchgaengigen Kalibrierungsplattform fuer Radar-Fusion-Steuergeraete mit Vector vCDM Backend, MATLAB/Simulink Modellintegration und HiL-Pruefstand bei RSG Muenchen. Ziel: Reduktion Kalibrieraufwand von 18 auf 8 Wochen je Variante. Ziel-Termin SOP: Q3 2023.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vCDM Server-Installation</w:t>
      </w:r>
    </w:p>
    <w:p>
      <w:pPr>
        <w:pStyle w:val="ListBullet"/>
      </w:pPr>
      <w:r>
        <w:t>HiL-Bench dSpace Scalexio</w:t>
      </w:r>
    </w:p>
    <w:p>
      <w:pPr>
        <w:pStyle w:val="ListBullet"/>
      </w:pPr>
      <w:r>
        <w:t>Mess-Plug-In INCA/CANape</w:t>
      </w:r>
    </w:p>
    <w:p>
      <w:pPr>
        <w:pStyle w:val="ListBullet"/>
      </w:pPr>
      <w:r>
        <w:t>DOE-Skripte (Python)</w:t>
      </w:r>
    </w:p>
    <w:p>
      <w:pPr>
        <w:pStyle w:val="ListBullet"/>
      </w:pPr>
      <w:r>
        <w:t>Trainings-Curriculum Kalibrierungs-Ingenieure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Stefan Hoffmann                          Dr. Stefan Brodbeck (RSG)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