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2021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Dezember 2021 planmaessig in der laufenden Phase. Termin- und Budget-konform; keine kritischen Risiken offen.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Januar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