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Januar 2022 planmaessig in der laufenden Phase. Termin- und Budget-konform; keine kritischen Risiken offen.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Februar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