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Maerz 2022 planmaessig in der laufenden Phase. Budget-Forecast +3 % – Steuerungsmassnahmen eingeleitet.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April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