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2023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Februar 2023 planmaessig in der laufenden Phase. Budget-Forecast +3 % – Steuerungsmassnahmen eingeleitet.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Maerz 2023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