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Mai 2023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Mai 2023 planmaessig in der laufenden Phase. Termin- und Budget-konform; keine kritischen Risiken offen.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Juni 2023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