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PRJ-2022-001 – BatteryMS-12 EV Plattform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Volkswagen (ID.7),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(REG, ab 7/2024 CTO)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34.0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Q1 2022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Q1 2024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PRJ-2022-001 »BatteryMS-12 EV Plattform«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Volkswagen (ID.7), Hyundai.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Neuentwicklung des Batteriemanagementsystems der zwoelften Generation fuer 800-V-EV-Plattform mit Cell-Supervisor-Aufbau, aktivem Balancing, Hochvolt-Isolationsmonitoring und CCS-Schnellladekommunikation (ISO 15118-20). Zielsicherheit ASIL-D, Funktionsverfuegbarkeit 99,9 %.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CSC Hard- und Software</w:t>
      </w:r>
    </w:p>
    <w:p>
      <w:pPr>
        <w:pStyle w:val="ListBullet"/>
      </w:pPr>
      <w:r>
        <w:t>BMU mit Aurix TC397XX</w:t>
      </w:r>
    </w:p>
    <w:p>
      <w:pPr>
        <w:pStyle w:val="ListBullet"/>
      </w:pPr>
      <w:r>
        <w:t>ISO 15118-20 Plug &amp; Charge</w:t>
      </w:r>
    </w:p>
    <w:p>
      <w:pPr>
        <w:pStyle w:val="ListBullet"/>
      </w:pPr>
      <w:r>
        <w:t>Thermomanagement-Schnittstelle</w:t>
      </w:r>
    </w:p>
    <w:p>
      <w:pPr>
        <w:pStyle w:val="ListBullet"/>
      </w:pPr>
      <w:r>
        <w:t>Cyber-Security HSM</w:t>
      </w:r>
    </w:p>
    <w:p>
      <w:pPr>
        <w:pStyle w:val="ListBullet"/>
      </w:pPr>
      <w:r>
        <w:t>End-of-Line-Test-Setup REG Heilbronn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Volkswagen (ID.7), Hyundai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Halbleitermangel CSC-ASICs bis Q2/2023</w:t>
      </w:r>
    </w:p>
    <w:p>
      <w:pPr>
        <w:pStyle w:val="ListBullet"/>
      </w:pPr>
      <w:r>
        <w:t>VW PPAP-Zeitfenster gefaehrdet (SOP ID.7 verschoben)</w:t>
      </w:r>
    </w:p>
    <w:p>
      <w:pPr>
        <w:pStyle w:val="ListBullet"/>
      </w:pPr>
      <w:r>
        <w:t>Hochvolt-Pruefstand Engpass Heilbronn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Q1 2022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34.0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Projektleitung</w:t>
        <w:br/>
        <w:t>Projekt-Sponsor                          PL BatteryMS-12 EV Plattform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