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Lastenheft PRJ-2022-001 – BatteryMS-12 EV Plattform</w:t>
      </w:r>
    </w:p>
    <w:p>
      <w:pPr>
        <w:jc w:val="center"/>
      </w:pPr>
      <w:r>
        <w:t>Auftraggeber-Spezifikation, Version 1.0</w:t>
      </w:r>
    </w:p>
    <w:p/>
    <w:p>
      <w:pPr>
        <w:pStyle w:val="Heading3"/>
      </w:pPr>
      <w:r>
        <w:t>1. Vorbemerkung</w:t>
      </w:r>
    </w:p>
    <w:p>
      <w:r>
        <w:t>Das vorliegende Lastenheft beschreibt aus Sicht des Auftraggebers (internes Produkt-Management bzw. OEM) die funktionalen und nicht-funktionalen Anforderungen an das im Projekt zu entwickelnde Produkt bzw. die zu erbringende Leistung. Das Lastenheft ist Grundlage fuer die Erstellung des Pflichtenhefts durch den Auftragnehmer (REA-Entwicklungsteam).</w:t>
      </w:r>
    </w:p>
    <w:p>
      <w:pPr>
        <w:pStyle w:val="Heading3"/>
      </w:pPr>
      <w:r>
        <w:t>2. Projekt-/Produkt-Bezug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Volkswagen (ID.7), Hyundai</w:t>
            </w:r>
          </w:p>
        </w:tc>
      </w:tr>
      <w:tr>
        <w:tc>
          <w:tcPr>
            <w:tcW w:type="dxa" w:w="4320"/>
          </w:tcPr>
          <w:p>
            <w:r>
              <w:t>Projektleitung (Auftragnehmer)</w:t>
            </w:r>
          </w:p>
        </w:tc>
        <w:tc>
          <w:tcPr>
            <w:tcW w:type="dxa" w:w="4320"/>
          </w:tcPr>
          <w:p>
            <w:r>
              <w:t>Dr. Petra Hollmann (REG, ab 7/2024 CTO)</w:t>
            </w:r>
          </w:p>
        </w:tc>
      </w:tr>
      <w:tr>
        <w:tc>
          <w:tcPr>
            <w:tcW w:type="dxa" w:w="4320"/>
          </w:tcPr>
          <w:p>
            <w:r>
              <w:t>Auftraggeber (Sponsor)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</w:tbl>
    <w:p>
      <w:pPr>
        <w:pStyle w:val="Heading3"/>
      </w:pPr>
      <w:r>
        <w:t>3. Zielsetzung</w:t>
      </w:r>
    </w:p>
    <w:p>
      <w:r>
        <w:t>Neuentwicklung des Batteriemanagementsystems der zwoelften Generation fuer 800-V-EV-Plattform mit Cell-Supervisor-Aufbau, aktivem Balancing, Hochvolt-Isolationsmonitoring und CCS-Schnellladekommunikation (ISO 15118-20). Zielsicherheit ASIL-D, Funktionsverfuegbarkeit 99,9 %. Ziel-Termin SOP: Q1 2024.</w:t>
      </w:r>
    </w:p>
    <w:p>
      <w:pPr>
        <w:pStyle w:val="Heading3"/>
      </w:pPr>
      <w:r>
        <w:t>4. Anforderungen – Funktional</w:t>
      </w:r>
    </w:p>
    <w:p>
      <w:pPr>
        <w:pStyle w:val="ListBullet"/>
      </w:pPr>
      <w:r>
        <w:t>CSC Hard- und Software</w:t>
      </w:r>
    </w:p>
    <w:p>
      <w:pPr>
        <w:pStyle w:val="ListBullet"/>
      </w:pPr>
      <w:r>
        <w:t>BMU mit Aurix TC397XX</w:t>
      </w:r>
    </w:p>
    <w:p>
      <w:pPr>
        <w:pStyle w:val="ListBullet"/>
      </w:pPr>
      <w:r>
        <w:t>ISO 15118-20 Plug &amp; Charge</w:t>
      </w:r>
    </w:p>
    <w:p>
      <w:pPr>
        <w:pStyle w:val="ListBullet"/>
      </w:pPr>
      <w:r>
        <w:t>Thermomanagement-Schnittstelle</w:t>
      </w:r>
    </w:p>
    <w:p>
      <w:pPr>
        <w:pStyle w:val="ListBullet"/>
      </w:pPr>
      <w:r>
        <w:t>Cyber-Security HSM</w:t>
      </w:r>
    </w:p>
    <w:p>
      <w:pPr>
        <w:pStyle w:val="ListBullet"/>
      </w:pPr>
      <w:r>
        <w:t>End-of-Line-Test-Setup REG Heilbronn</w:t>
      </w:r>
    </w:p>
    <w:p>
      <w:pPr>
        <w:pStyle w:val="ListBullet"/>
      </w:pPr>
      <w:r>
        <w:t>Diagnose ueber UDS (ISO 14229-1)</w:t>
      </w:r>
    </w:p>
    <w:p>
      <w:pPr>
        <w:pStyle w:val="ListBullet"/>
      </w:pPr>
      <w:r>
        <w:t>OTA-Updatefaehigkeit (sofern Anwendungsbereich)</w:t>
      </w:r>
    </w:p>
    <w:p>
      <w:pPr>
        <w:pStyle w:val="ListBullet"/>
      </w:pPr>
      <w:r>
        <w:t>Cybersecurity nach ISO/SAE 21434 und UN R155</w:t>
      </w:r>
    </w:p>
    <w:p>
      <w:pPr>
        <w:pStyle w:val="ListBullet"/>
      </w:pPr>
      <w:r>
        <w:t>Funktionssicherheit nach ISO 26262 (ASIL gemaess Konzept)</w:t>
      </w:r>
    </w:p>
    <w:p>
      <w:pPr>
        <w:pStyle w:val="Heading3"/>
      </w:pPr>
      <w:r>
        <w:t>5. Anforderungen – Nicht-funktional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Anforderung</w:t>
            </w:r>
          </w:p>
        </w:tc>
      </w:tr>
      <w:tr>
        <w:tc>
          <w:tcPr>
            <w:tcW w:type="dxa" w:w="4320"/>
          </w:tcPr>
          <w:p>
            <w:r>
              <w:t>Temperaturbereich</w:t>
            </w:r>
          </w:p>
        </w:tc>
        <w:tc>
          <w:tcPr>
            <w:tcW w:type="dxa" w:w="4320"/>
          </w:tcPr>
          <w:p>
            <w:r>
              <w:t>-40 ... +85 deg C (Betriebsbereich)</w:t>
            </w:r>
          </w:p>
        </w:tc>
      </w:tr>
      <w:tr>
        <w:tc>
          <w:tcPr>
            <w:tcW w:type="dxa" w:w="4320"/>
          </w:tcPr>
          <w:p>
            <w:r>
              <w:t>Lagertemperatur</w:t>
            </w:r>
          </w:p>
        </w:tc>
        <w:tc>
          <w:tcPr>
            <w:tcW w:type="dxa" w:w="4320"/>
          </w:tcPr>
          <w:p>
            <w:r>
              <w:t>-40 ... +105 deg C</w:t>
            </w:r>
          </w:p>
        </w:tc>
      </w:tr>
      <w:tr>
        <w:tc>
          <w:tcPr>
            <w:tcW w:type="dxa" w:w="4320"/>
          </w:tcPr>
          <w:p>
            <w:r>
              <w:t>Schutzart</w:t>
            </w:r>
          </w:p>
        </w:tc>
        <w:tc>
          <w:tcPr>
            <w:tcW w:type="dxa" w:w="4320"/>
          </w:tcPr>
          <w:p>
            <w:r>
              <w:t>IP6K7/IP6K9K (montagelagenabhaengig)</w:t>
            </w:r>
          </w:p>
        </w:tc>
      </w:tr>
      <w:tr>
        <w:tc>
          <w:tcPr>
            <w:tcW w:type="dxa" w:w="4320"/>
          </w:tcPr>
          <w:p>
            <w:r>
              <w:t>EMV</w:t>
            </w:r>
          </w:p>
        </w:tc>
        <w:tc>
          <w:tcPr>
            <w:tcW w:type="dxa" w:w="4320"/>
          </w:tcPr>
          <w:p>
            <w:r>
              <w:t>CISPR 25 Klasse 5, LV124, ISO 11452-2/-4</w:t>
            </w:r>
          </w:p>
        </w:tc>
      </w:tr>
      <w:tr>
        <w:tc>
          <w:tcPr>
            <w:tcW w:type="dxa" w:w="4320"/>
          </w:tcPr>
          <w:p>
            <w:r>
              <w:t>Lebensdauer</w:t>
            </w:r>
          </w:p>
        </w:tc>
        <w:tc>
          <w:tcPr>
            <w:tcW w:type="dxa" w:w="4320"/>
          </w:tcPr>
          <w:p>
            <w:r>
              <w:t>15 Jahre / 250.000 km / 8.000 h</w:t>
            </w:r>
          </w:p>
        </w:tc>
      </w:tr>
      <w:tr>
        <w:tc>
          <w:tcPr>
            <w:tcW w:type="dxa" w:w="4320"/>
          </w:tcPr>
          <w:p>
            <w:r>
              <w:t>Verfuegbarkeit</w:t>
            </w:r>
          </w:p>
        </w:tc>
        <w:tc>
          <w:tcPr>
            <w:tcW w:type="dxa" w:w="4320"/>
          </w:tcPr>
          <w:p>
            <w:r>
              <w:t>&gt; 99 % (Funktion), &gt; 99,9 % (Sicherheitsfunktionen)</w:t>
            </w:r>
          </w:p>
        </w:tc>
      </w:tr>
      <w:tr>
        <w:tc>
          <w:tcPr>
            <w:tcW w:type="dxa" w:w="4320"/>
          </w:tcPr>
          <w:p>
            <w:r>
              <w:t>Cybersecurity</w:t>
            </w:r>
          </w:p>
        </w:tc>
        <w:tc>
          <w:tcPr>
            <w:tcW w:type="dxa" w:w="4320"/>
          </w:tcPr>
          <w:p>
            <w:r>
              <w:t>ISO/SAE 21434 + UN R155/156-Konformitaet</w:t>
            </w:r>
          </w:p>
        </w:tc>
      </w:tr>
    </w:tbl>
    <w:p>
      <w:pPr>
        <w:pStyle w:val="Heading3"/>
      </w:pPr>
      <w:r>
        <w:t>6. Schnittstellen</w:t>
      </w:r>
    </w:p>
    <w:p>
      <w:r>
        <w:t>Definiert werden alle elektrischen, kommunikativen und mechanischen Schnittstellen zum Fahrzeug-Bordnetz (12 V / 24 V / HV 400/800 V), zu Kommunikations-Bussen (CAN, CAN-FD, Automotive Ethernet 100/1000BASE-T1), zu Sensoren/Aktoren sowie zur OBD- und After-Sales-Diagnose. Die elektrischen Schnittstellen sind im separaten Pinning-Dokument (REA-Pin-LH-001 v1.0) detailliert beschrieben.</w:t>
      </w:r>
    </w:p>
    <w:p>
      <w:pPr>
        <w:pStyle w:val="Heading3"/>
      </w:pPr>
      <w:r>
        <w:t>7. Liefer- und Akzeptanzkriterien</w:t>
      </w:r>
    </w:p>
    <w:p>
      <w:pPr>
        <w:pStyle w:val="ListBullet"/>
      </w:pPr>
      <w:r>
        <w:t>A-Muster (Konzept-Validierung) zum Gate G2</w:t>
      </w:r>
    </w:p>
    <w:p>
      <w:pPr>
        <w:pStyle w:val="ListBullet"/>
      </w:pPr>
      <w:r>
        <w:t>B-Muster (Pre-Production) zum Gate G3 inkl. Test-Coverage &gt; 80 %</w:t>
      </w:r>
    </w:p>
    <w:p>
      <w:pPr>
        <w:pStyle w:val="ListBullet"/>
      </w:pPr>
      <w:r>
        <w:t>PPAP Level 3 zum Gate G4 (D/PFMEA, MSA, Cpk &gt; 1,67)</w:t>
      </w:r>
    </w:p>
    <w:p>
      <w:pPr>
        <w:pStyle w:val="ListBullet"/>
      </w:pPr>
      <w:r>
        <w:t>Vollstaendige Dokumentation gem. VDA 6.3 und IATF 16949</w:t>
      </w:r>
    </w:p>
    <w:p>
      <w:pPr>
        <w:pStyle w:val="ListBullet"/>
      </w:pPr>
      <w:r>
        <w:t>Schulungsunterlagen fuer After-Sales und Linien-Mitarbeiter</w:t>
      </w:r>
    </w:p>
    <w:p>
      <w:pPr>
        <w:pStyle w:val="Heading3"/>
      </w:pPr>
      <w:r>
        <w:t>8. Termin- und Kostenrahmen</w:t>
      </w:r>
    </w:p>
    <w:p>
      <w:r>
        <w:t>Die im Projekt-Charter festgelegten Termine und Budgets gelten verbindlich. Aenderungen erfolgen ueber das im Charter beschriebene Change-Management (Change-Control-Board, Vorsitz Group-Controlling).</w:t>
      </w:r>
    </w:p>
    <w:p>
      <w:pPr>
        <w:pStyle w:val="Heading3"/>
      </w:pPr>
      <w:r>
        <w:t>9. Unterschriften (Freigabe Lastenheft)</w:t>
      </w:r>
    </w:p>
    <w:p>
      <w:r>
        <w:t>Ort, Datum: Stuttgart, den —</w:t>
      </w:r>
    </w:p>
    <w:p>
      <w:r>
        <w:t>_________________________            _________________________</w:t>
        <w:br/>
        <w:t>Dr. Thomas Weber                          Dr. Petra Hollmann (REG, ab 7/2024 CTO)</w:t>
        <w:br/>
        <w:t>Auftraggeber / Sponsor                          Auftragnehmer /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